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22C71B" w14:textId="77777777" w:rsidR="003733B6" w:rsidRDefault="003733B6" w:rsidP="003733B6">
      <w:pPr>
        <w:rPr>
          <w:rFonts w:ascii="Times New Roman" w:hAnsi="Times New Roman" w:cs="Times New Roman"/>
          <w:b/>
          <w:sz w:val="24"/>
          <w:szCs w:val="24"/>
        </w:rPr>
      </w:pPr>
      <w:bookmarkStart w:id="0" w:name="_Toc6089020"/>
      <w:bookmarkStart w:id="1" w:name="_Toc6347833"/>
      <w:r w:rsidRPr="00F92BB3">
        <w:rPr>
          <w:rFonts w:ascii="Times New Roman" w:hAnsi="Times New Roman" w:cs="Times New Roman"/>
          <w:b/>
          <w:sz w:val="24"/>
          <w:szCs w:val="24"/>
        </w:rPr>
        <w:t xml:space="preserve">Title: </w:t>
      </w:r>
      <w:bookmarkStart w:id="2" w:name="_Hlk24668001"/>
      <w:r w:rsidRPr="00F92BB3">
        <w:rPr>
          <w:rFonts w:ascii="Times New Roman" w:hAnsi="Times New Roman" w:cs="Times New Roman"/>
          <w:sz w:val="24"/>
          <w:szCs w:val="24"/>
        </w:rPr>
        <w:t>Impact of relative dose intensity of FOLFOX</w:t>
      </w:r>
      <w:r>
        <w:rPr>
          <w:rFonts w:ascii="Times New Roman" w:hAnsi="Times New Roman" w:cs="Times New Roman"/>
          <w:sz w:val="24"/>
          <w:szCs w:val="24"/>
        </w:rPr>
        <w:t xml:space="preserve"> a</w:t>
      </w:r>
      <w:r w:rsidRPr="00F92BB3">
        <w:rPr>
          <w:rFonts w:ascii="Times New Roman" w:hAnsi="Times New Roman" w:cs="Times New Roman"/>
          <w:sz w:val="24"/>
          <w:szCs w:val="24"/>
        </w:rPr>
        <w:t xml:space="preserve">djuvant </w:t>
      </w:r>
      <w:r>
        <w:rPr>
          <w:rFonts w:ascii="Times New Roman" w:hAnsi="Times New Roman" w:cs="Times New Roman"/>
          <w:sz w:val="24"/>
          <w:szCs w:val="24"/>
        </w:rPr>
        <w:t>c</w:t>
      </w:r>
      <w:r w:rsidRPr="00F92BB3">
        <w:rPr>
          <w:rFonts w:ascii="Times New Roman" w:hAnsi="Times New Roman" w:cs="Times New Roman"/>
          <w:sz w:val="24"/>
          <w:szCs w:val="24"/>
        </w:rPr>
        <w:t xml:space="preserve">hemotherapy on </w:t>
      </w:r>
      <w:r>
        <w:rPr>
          <w:rFonts w:ascii="Times New Roman" w:hAnsi="Times New Roman" w:cs="Times New Roman"/>
          <w:sz w:val="24"/>
          <w:szCs w:val="24"/>
        </w:rPr>
        <w:t>risk of death</w:t>
      </w:r>
      <w:r w:rsidRPr="00F92BB3">
        <w:rPr>
          <w:rFonts w:ascii="Times New Roman" w:hAnsi="Times New Roman" w:cs="Times New Roman"/>
          <w:sz w:val="24"/>
          <w:szCs w:val="24"/>
        </w:rPr>
        <w:t xml:space="preserve"> among </w:t>
      </w:r>
      <w:r>
        <w:rPr>
          <w:rFonts w:ascii="Times New Roman" w:hAnsi="Times New Roman" w:cs="Times New Roman"/>
          <w:sz w:val="24"/>
          <w:szCs w:val="24"/>
        </w:rPr>
        <w:t>s</w:t>
      </w:r>
      <w:r w:rsidRPr="00F92BB3">
        <w:rPr>
          <w:rFonts w:ascii="Times New Roman" w:hAnsi="Times New Roman" w:cs="Times New Roman"/>
          <w:sz w:val="24"/>
          <w:szCs w:val="24"/>
        </w:rPr>
        <w:t xml:space="preserve">tage III </w:t>
      </w:r>
      <w:r>
        <w:rPr>
          <w:rFonts w:ascii="Times New Roman" w:hAnsi="Times New Roman" w:cs="Times New Roman"/>
          <w:sz w:val="24"/>
          <w:szCs w:val="24"/>
        </w:rPr>
        <w:t>c</w:t>
      </w:r>
      <w:r w:rsidRPr="00F92BB3">
        <w:rPr>
          <w:rFonts w:ascii="Times New Roman" w:hAnsi="Times New Roman" w:cs="Times New Roman"/>
          <w:sz w:val="24"/>
          <w:szCs w:val="24"/>
        </w:rPr>
        <w:t xml:space="preserve">olon </w:t>
      </w:r>
      <w:r>
        <w:rPr>
          <w:rFonts w:ascii="Times New Roman" w:hAnsi="Times New Roman" w:cs="Times New Roman"/>
          <w:sz w:val="24"/>
          <w:szCs w:val="24"/>
        </w:rPr>
        <w:t>c</w:t>
      </w:r>
      <w:r w:rsidRPr="00F92BB3">
        <w:rPr>
          <w:rFonts w:ascii="Times New Roman" w:hAnsi="Times New Roman" w:cs="Times New Roman"/>
          <w:sz w:val="24"/>
          <w:szCs w:val="24"/>
        </w:rPr>
        <w:t xml:space="preserve">ancer </w:t>
      </w:r>
      <w:r>
        <w:rPr>
          <w:rFonts w:ascii="Times New Roman" w:hAnsi="Times New Roman" w:cs="Times New Roman"/>
          <w:sz w:val="24"/>
          <w:szCs w:val="24"/>
        </w:rPr>
        <w:t>p</w:t>
      </w:r>
      <w:r w:rsidRPr="00F92BB3">
        <w:rPr>
          <w:rFonts w:ascii="Times New Roman" w:hAnsi="Times New Roman" w:cs="Times New Roman"/>
          <w:sz w:val="24"/>
          <w:szCs w:val="24"/>
        </w:rPr>
        <w:t>atients</w:t>
      </w:r>
      <w:r w:rsidRPr="00F92BB3">
        <w:rPr>
          <w:rFonts w:ascii="Times New Roman" w:hAnsi="Times New Roman" w:cs="Times New Roman"/>
          <w:b/>
          <w:sz w:val="24"/>
          <w:szCs w:val="24"/>
        </w:rPr>
        <w:t xml:space="preserve"> </w:t>
      </w:r>
      <w:bookmarkEnd w:id="2"/>
    </w:p>
    <w:p w14:paraId="153D118E" w14:textId="77777777" w:rsidR="003733B6" w:rsidRDefault="003733B6" w:rsidP="003733B6">
      <w:pPr>
        <w:rPr>
          <w:rFonts w:ascii="Times New Roman" w:hAnsi="Times New Roman" w:cs="Times New Roman"/>
          <w:sz w:val="24"/>
          <w:szCs w:val="24"/>
        </w:rPr>
      </w:pPr>
      <w:r>
        <w:rPr>
          <w:rFonts w:ascii="Times New Roman" w:hAnsi="Times New Roman" w:cs="Times New Roman"/>
          <w:b/>
          <w:sz w:val="24"/>
          <w:szCs w:val="24"/>
        </w:rPr>
        <w:t xml:space="preserve">Authors: </w:t>
      </w:r>
      <w:r w:rsidRPr="008F4D62">
        <w:rPr>
          <w:rFonts w:ascii="Times New Roman" w:hAnsi="Times New Roman" w:cs="Times New Roman"/>
          <w:sz w:val="24"/>
          <w:szCs w:val="24"/>
          <w:vertAlign w:val="superscript"/>
        </w:rPr>
        <w:t>1</w:t>
      </w:r>
      <w:r w:rsidRPr="00F92BB3">
        <w:rPr>
          <w:rFonts w:ascii="Times New Roman" w:hAnsi="Times New Roman" w:cs="Times New Roman"/>
          <w:sz w:val="24"/>
          <w:szCs w:val="24"/>
        </w:rPr>
        <w:t xml:space="preserve">Meijiao Zhou, </w:t>
      </w:r>
      <w:r>
        <w:rPr>
          <w:rFonts w:ascii="Times New Roman" w:hAnsi="Times New Roman" w:cs="Times New Roman"/>
          <w:sz w:val="24"/>
          <w:szCs w:val="24"/>
        </w:rPr>
        <w:t xml:space="preserve">PhD; </w:t>
      </w:r>
      <w:r w:rsidRPr="007B7232">
        <w:rPr>
          <w:rFonts w:ascii="Times New Roman" w:hAnsi="Times New Roman" w:cs="Times New Roman"/>
          <w:sz w:val="24"/>
          <w:szCs w:val="24"/>
          <w:vertAlign w:val="superscript"/>
        </w:rPr>
        <w:t>2</w:t>
      </w:r>
      <w:r>
        <w:rPr>
          <w:rFonts w:ascii="Times New Roman" w:hAnsi="Times New Roman" w:cs="Times New Roman"/>
          <w:sz w:val="24"/>
          <w:szCs w:val="24"/>
        </w:rPr>
        <w:t xml:space="preserve">Trevor D. Thompson, BS; </w:t>
      </w:r>
      <w:r>
        <w:rPr>
          <w:rFonts w:ascii="Times New Roman" w:hAnsi="Times New Roman" w:cs="Times New Roman"/>
          <w:sz w:val="24"/>
          <w:szCs w:val="24"/>
          <w:vertAlign w:val="superscript"/>
        </w:rPr>
        <w:t>3</w:t>
      </w:r>
      <w:r>
        <w:rPr>
          <w:rFonts w:ascii="Times New Roman" w:hAnsi="Times New Roman" w:cs="Times New Roman"/>
          <w:sz w:val="24"/>
          <w:szCs w:val="24"/>
        </w:rPr>
        <w:t xml:space="preserve">Hui-Yi Lin, PhD; </w:t>
      </w:r>
      <w:r w:rsidRPr="008F4D62">
        <w:rPr>
          <w:rFonts w:ascii="Times New Roman" w:hAnsi="Times New Roman" w:cs="Times New Roman"/>
          <w:sz w:val="24"/>
          <w:szCs w:val="24"/>
          <w:vertAlign w:val="superscript"/>
        </w:rPr>
        <w:t>1</w:t>
      </w:r>
      <w:r>
        <w:rPr>
          <w:rFonts w:ascii="Times New Roman" w:hAnsi="Times New Roman" w:cs="Times New Roman"/>
          <w:sz w:val="24"/>
          <w:szCs w:val="24"/>
        </w:rPr>
        <w:t xml:space="preserve">Vivien W. Chen, PhD; </w:t>
      </w:r>
      <w:r w:rsidRPr="00470873">
        <w:rPr>
          <w:rFonts w:ascii="Times New Roman" w:hAnsi="Times New Roman" w:cs="Times New Roman"/>
          <w:sz w:val="24"/>
          <w:szCs w:val="24"/>
          <w:vertAlign w:val="superscript"/>
        </w:rPr>
        <w:t>4</w:t>
      </w:r>
      <w:r>
        <w:rPr>
          <w:rFonts w:ascii="Times New Roman" w:hAnsi="Times New Roman" w:cs="Times New Roman"/>
          <w:sz w:val="24"/>
          <w:szCs w:val="24"/>
        </w:rPr>
        <w:t xml:space="preserve">Jordan J. </w:t>
      </w:r>
      <w:proofErr w:type="spellStart"/>
      <w:r>
        <w:rPr>
          <w:rFonts w:ascii="Times New Roman" w:hAnsi="Times New Roman" w:cs="Times New Roman"/>
          <w:sz w:val="24"/>
          <w:szCs w:val="24"/>
        </w:rPr>
        <w:t>Karlitz</w:t>
      </w:r>
      <w:proofErr w:type="spellEnd"/>
      <w:r>
        <w:rPr>
          <w:rFonts w:ascii="Times New Roman" w:hAnsi="Times New Roman" w:cs="Times New Roman"/>
          <w:sz w:val="24"/>
          <w:szCs w:val="24"/>
        </w:rPr>
        <w:t xml:space="preserve">, MD; </w:t>
      </w:r>
      <w:r>
        <w:rPr>
          <w:rFonts w:ascii="Times New Roman" w:hAnsi="Times New Roman" w:cs="Times New Roman"/>
          <w:sz w:val="24"/>
          <w:szCs w:val="24"/>
          <w:vertAlign w:val="superscript"/>
        </w:rPr>
        <w:t>1</w:t>
      </w:r>
      <w:r>
        <w:rPr>
          <w:rFonts w:ascii="Times New Roman" w:hAnsi="Times New Roman" w:cs="Times New Roman"/>
          <w:sz w:val="24"/>
          <w:szCs w:val="24"/>
        </w:rPr>
        <w:t xml:space="preserve">Elizabeth T.H. </w:t>
      </w:r>
      <w:proofErr w:type="spellStart"/>
      <w:r>
        <w:rPr>
          <w:rFonts w:ascii="Times New Roman" w:hAnsi="Times New Roman" w:cs="Times New Roman"/>
          <w:sz w:val="24"/>
          <w:szCs w:val="24"/>
        </w:rPr>
        <w:t>Fontham</w:t>
      </w:r>
      <w:proofErr w:type="spellEnd"/>
      <w:r>
        <w:rPr>
          <w:rFonts w:ascii="Times New Roman" w:hAnsi="Times New Roman" w:cs="Times New Roman"/>
          <w:sz w:val="24"/>
          <w:szCs w:val="24"/>
        </w:rPr>
        <w:t xml:space="preserve">, DrPH; </w:t>
      </w:r>
      <w:r w:rsidRPr="00FA7B02">
        <w:rPr>
          <w:rFonts w:ascii="Times New Roman" w:hAnsi="Times New Roman" w:cs="Times New Roman"/>
          <w:sz w:val="24"/>
          <w:szCs w:val="24"/>
          <w:vertAlign w:val="superscript"/>
        </w:rPr>
        <w:t>5</w:t>
      </w:r>
      <w:r>
        <w:rPr>
          <w:rFonts w:ascii="Times New Roman" w:hAnsi="Times New Roman" w:cs="Times New Roman"/>
          <w:sz w:val="24"/>
          <w:szCs w:val="24"/>
        </w:rPr>
        <w:t xml:space="preserve">Katherine P. </w:t>
      </w:r>
      <w:proofErr w:type="spellStart"/>
      <w:r>
        <w:rPr>
          <w:rFonts w:ascii="Times New Roman" w:hAnsi="Times New Roman" w:cs="Times New Roman"/>
          <w:sz w:val="24"/>
          <w:szCs w:val="24"/>
        </w:rPr>
        <w:t>Theall</w:t>
      </w:r>
      <w:proofErr w:type="spellEnd"/>
      <w:r>
        <w:rPr>
          <w:rFonts w:ascii="Times New Roman" w:hAnsi="Times New Roman" w:cs="Times New Roman"/>
          <w:sz w:val="24"/>
          <w:szCs w:val="24"/>
        </w:rPr>
        <w:t xml:space="preserve">, PhD; </w:t>
      </w:r>
      <w:r>
        <w:rPr>
          <w:rFonts w:ascii="Times New Roman" w:hAnsi="Times New Roman" w:cs="Times New Roman"/>
          <w:sz w:val="24"/>
          <w:szCs w:val="24"/>
          <w:vertAlign w:val="superscript"/>
        </w:rPr>
        <w:t>6</w:t>
      </w:r>
      <w:r>
        <w:rPr>
          <w:rFonts w:ascii="Times New Roman" w:hAnsi="Times New Roman" w:cs="Times New Roman"/>
          <w:sz w:val="24"/>
          <w:szCs w:val="24"/>
        </w:rPr>
        <w:t xml:space="preserve">Lu Zhang, PhD; </w:t>
      </w:r>
      <w:r w:rsidRPr="007B7232">
        <w:rPr>
          <w:rFonts w:ascii="Times New Roman" w:hAnsi="Times New Roman" w:cs="Times New Roman"/>
          <w:sz w:val="24"/>
          <w:szCs w:val="24"/>
          <w:vertAlign w:val="superscript"/>
        </w:rPr>
        <w:t>2</w:t>
      </w:r>
      <w:r>
        <w:rPr>
          <w:rFonts w:ascii="Times New Roman" w:hAnsi="Times New Roman" w:cs="Times New Roman"/>
          <w:sz w:val="24"/>
          <w:szCs w:val="24"/>
        </w:rPr>
        <w:t xml:space="preserve">Lori A. Pollack, MD, MPH; </w:t>
      </w:r>
      <w:r w:rsidRPr="008F4D62">
        <w:rPr>
          <w:rFonts w:ascii="Times New Roman" w:hAnsi="Times New Roman" w:cs="Times New Roman"/>
          <w:sz w:val="24"/>
          <w:szCs w:val="24"/>
          <w:vertAlign w:val="superscript"/>
        </w:rPr>
        <w:t>1</w:t>
      </w:r>
      <w:r w:rsidRPr="008F4D62">
        <w:rPr>
          <w:rFonts w:ascii="Times New Roman" w:hAnsi="Times New Roman" w:cs="Times New Roman"/>
          <w:sz w:val="24"/>
          <w:szCs w:val="24"/>
        </w:rPr>
        <w:t>Xiao-Cheng Wu, MD, MPH</w:t>
      </w:r>
    </w:p>
    <w:p w14:paraId="62D737A5" w14:textId="77777777" w:rsidR="003733B6" w:rsidRDefault="003733B6" w:rsidP="003733B6">
      <w:pPr>
        <w:rPr>
          <w:rFonts w:ascii="Times New Roman" w:hAnsi="Times New Roman" w:cs="Times New Roman"/>
          <w:sz w:val="24"/>
          <w:szCs w:val="24"/>
        </w:rPr>
      </w:pPr>
      <w:r w:rsidRPr="00CC6241">
        <w:rPr>
          <w:rFonts w:ascii="Times New Roman" w:hAnsi="Times New Roman" w:cs="Times New Roman"/>
          <w:sz w:val="24"/>
          <w:szCs w:val="24"/>
          <w:vertAlign w:val="superscript"/>
        </w:rPr>
        <w:t>1</w:t>
      </w:r>
      <w:r>
        <w:rPr>
          <w:rFonts w:ascii="Times New Roman" w:hAnsi="Times New Roman" w:cs="Times New Roman"/>
          <w:sz w:val="24"/>
          <w:szCs w:val="24"/>
        </w:rPr>
        <w:t>Epidemiology Program</w:t>
      </w:r>
      <w:r w:rsidRPr="00CC6241">
        <w:rPr>
          <w:rFonts w:ascii="Times New Roman" w:hAnsi="Times New Roman" w:cs="Times New Roman"/>
          <w:sz w:val="24"/>
          <w:szCs w:val="24"/>
        </w:rPr>
        <w:t>, School of Public Health</w:t>
      </w:r>
      <w:r>
        <w:rPr>
          <w:rFonts w:ascii="Times New Roman" w:hAnsi="Times New Roman" w:cs="Times New Roman"/>
          <w:sz w:val="24"/>
          <w:szCs w:val="24"/>
        </w:rPr>
        <w:t xml:space="preserve"> and Louisiana Tumor Registry</w:t>
      </w:r>
      <w:r w:rsidRPr="00CC6241">
        <w:rPr>
          <w:rFonts w:ascii="Times New Roman" w:hAnsi="Times New Roman" w:cs="Times New Roman"/>
          <w:sz w:val="24"/>
          <w:szCs w:val="24"/>
        </w:rPr>
        <w:t>, Louisiana State University Health Sciences Center, New Orleans, LA</w:t>
      </w:r>
    </w:p>
    <w:p w14:paraId="757EA495" w14:textId="77777777" w:rsidR="003733B6" w:rsidRPr="00CC6241" w:rsidRDefault="003733B6" w:rsidP="003733B6">
      <w:pPr>
        <w:rPr>
          <w:rFonts w:ascii="Times New Roman" w:hAnsi="Times New Roman" w:cs="Times New Roman"/>
          <w:sz w:val="24"/>
          <w:szCs w:val="24"/>
        </w:rPr>
      </w:pPr>
      <w:r w:rsidRPr="007B7232">
        <w:rPr>
          <w:rFonts w:ascii="Times New Roman" w:hAnsi="Times New Roman" w:cs="Times New Roman"/>
          <w:sz w:val="24"/>
          <w:szCs w:val="24"/>
          <w:vertAlign w:val="superscript"/>
        </w:rPr>
        <w:t>2</w:t>
      </w:r>
      <w:r w:rsidRPr="007B7232">
        <w:rPr>
          <w:rFonts w:ascii="Times New Roman" w:hAnsi="Times New Roman" w:cs="Times New Roman"/>
          <w:sz w:val="24"/>
          <w:szCs w:val="24"/>
        </w:rPr>
        <w:t>Division of Cancer Prevention and Control, National Center for Chronic Disease Prevention and Health Promotion, Centers for Disease Control and Prevention, Atlanta, GA</w:t>
      </w:r>
      <w:r w:rsidRPr="00CC6241">
        <w:rPr>
          <w:rFonts w:ascii="Times New Roman" w:hAnsi="Times New Roman" w:cs="Times New Roman"/>
          <w:sz w:val="24"/>
          <w:szCs w:val="24"/>
        </w:rPr>
        <w:t xml:space="preserve"> </w:t>
      </w:r>
    </w:p>
    <w:p w14:paraId="167CDAB2" w14:textId="77777777" w:rsidR="003733B6" w:rsidRDefault="003733B6" w:rsidP="003733B6">
      <w:pP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 xml:space="preserve">Biostatistics Program, </w:t>
      </w:r>
      <w:r w:rsidRPr="00CC6241">
        <w:rPr>
          <w:rFonts w:ascii="Times New Roman" w:hAnsi="Times New Roman" w:cs="Times New Roman"/>
          <w:sz w:val="24"/>
          <w:szCs w:val="24"/>
        </w:rPr>
        <w:t xml:space="preserve">School of Public Health, Louisiana State University Health Sciences Center, New Orleans, LA </w:t>
      </w:r>
    </w:p>
    <w:p w14:paraId="4EDEAE2A" w14:textId="77777777" w:rsidR="003733B6" w:rsidRDefault="003733B6" w:rsidP="003733B6">
      <w:pPr>
        <w:rPr>
          <w:rFonts w:ascii="Times New Roman" w:hAnsi="Times New Roman" w:cs="Times New Roman"/>
          <w:sz w:val="24"/>
          <w:szCs w:val="24"/>
        </w:rPr>
      </w:pPr>
      <w:r w:rsidRPr="001074ED">
        <w:rPr>
          <w:rFonts w:ascii="Times New Roman" w:hAnsi="Times New Roman" w:cs="Times New Roman"/>
          <w:sz w:val="24"/>
          <w:szCs w:val="24"/>
          <w:vertAlign w:val="superscript"/>
        </w:rPr>
        <w:t>4</w:t>
      </w:r>
      <w:r w:rsidRPr="00FA7B02">
        <w:rPr>
          <w:rFonts w:ascii="Times New Roman" w:hAnsi="Times New Roman" w:cs="Times New Roman"/>
          <w:sz w:val="24"/>
          <w:szCs w:val="24"/>
        </w:rPr>
        <w:t>Division of Gastroenterology</w:t>
      </w:r>
      <w:r>
        <w:rPr>
          <w:rFonts w:ascii="Times New Roman" w:hAnsi="Times New Roman" w:cs="Times New Roman"/>
          <w:sz w:val="24"/>
          <w:szCs w:val="24"/>
        </w:rPr>
        <w:t>,</w:t>
      </w:r>
      <w:r w:rsidRPr="00FA7B02">
        <w:rPr>
          <w:rFonts w:ascii="Times New Roman" w:hAnsi="Times New Roman" w:cs="Times New Roman"/>
          <w:sz w:val="24"/>
          <w:szCs w:val="24"/>
        </w:rPr>
        <w:t xml:space="preserve"> School of Medicine, Tulane University</w:t>
      </w:r>
      <w:r>
        <w:rPr>
          <w:rFonts w:ascii="Times New Roman" w:hAnsi="Times New Roman" w:cs="Times New Roman"/>
          <w:sz w:val="24"/>
          <w:szCs w:val="24"/>
        </w:rPr>
        <w:t>;</w:t>
      </w:r>
      <w:r w:rsidRPr="00FA7B02">
        <w:rPr>
          <w:rFonts w:ascii="Times New Roman" w:hAnsi="Times New Roman" w:cs="Times New Roman"/>
          <w:sz w:val="24"/>
          <w:szCs w:val="24"/>
        </w:rPr>
        <w:t xml:space="preserve"> Gastroenterologist Southeast Louisiana Veteran Health Care System, New Orleans, LA </w:t>
      </w:r>
    </w:p>
    <w:p w14:paraId="4FCC5062" w14:textId="77777777" w:rsidR="003733B6" w:rsidRPr="00F92BB3" w:rsidRDefault="003733B6" w:rsidP="003733B6">
      <w:pPr>
        <w:rPr>
          <w:rFonts w:ascii="Times New Roman" w:hAnsi="Times New Roman" w:cs="Times New Roman"/>
          <w:sz w:val="24"/>
          <w:szCs w:val="24"/>
        </w:rPr>
      </w:pPr>
      <w:r w:rsidRPr="00FA7B02">
        <w:rPr>
          <w:rFonts w:ascii="Times New Roman" w:hAnsi="Times New Roman" w:cs="Times New Roman"/>
          <w:sz w:val="24"/>
          <w:szCs w:val="24"/>
          <w:vertAlign w:val="superscript"/>
        </w:rPr>
        <w:t>5</w:t>
      </w:r>
      <w:r w:rsidRPr="00FA7B02">
        <w:rPr>
          <w:rFonts w:ascii="Times New Roman" w:hAnsi="Times New Roman" w:cs="Times New Roman"/>
          <w:sz w:val="24"/>
          <w:szCs w:val="24"/>
        </w:rPr>
        <w:t>Department of Global Community Health and Behavioral Sciences, School of Public Health and Tropical Medicine,</w:t>
      </w:r>
      <w:r>
        <w:rPr>
          <w:rFonts w:ascii="Times New Roman" w:hAnsi="Times New Roman" w:cs="Times New Roman"/>
          <w:sz w:val="24"/>
          <w:szCs w:val="24"/>
        </w:rPr>
        <w:t xml:space="preserve"> </w:t>
      </w:r>
      <w:r w:rsidRPr="00FA7B02">
        <w:rPr>
          <w:rFonts w:ascii="Times New Roman" w:hAnsi="Times New Roman" w:cs="Times New Roman"/>
          <w:sz w:val="24"/>
          <w:szCs w:val="24"/>
        </w:rPr>
        <w:t>Tulane University</w:t>
      </w:r>
      <w:r>
        <w:rPr>
          <w:rFonts w:ascii="Times New Roman" w:hAnsi="Times New Roman" w:cs="Times New Roman"/>
          <w:sz w:val="24"/>
          <w:szCs w:val="24"/>
        </w:rPr>
        <w:t>,</w:t>
      </w:r>
      <w:r w:rsidRPr="00FA7B02">
        <w:rPr>
          <w:rFonts w:ascii="Times New Roman" w:hAnsi="Times New Roman" w:cs="Times New Roman"/>
          <w:sz w:val="24"/>
          <w:szCs w:val="24"/>
        </w:rPr>
        <w:t xml:space="preserve"> New Orleans, LA</w:t>
      </w:r>
    </w:p>
    <w:p w14:paraId="6C34923F" w14:textId="77777777" w:rsidR="003733B6" w:rsidRPr="00FB502C" w:rsidRDefault="003733B6" w:rsidP="003733B6">
      <w:pPr>
        <w:rPr>
          <w:rFonts w:ascii="Times New Roman" w:hAnsi="Times New Roman" w:cs="Times New Roman"/>
          <w:sz w:val="24"/>
          <w:szCs w:val="24"/>
        </w:rPr>
      </w:pPr>
      <w:r w:rsidRPr="00FB502C">
        <w:rPr>
          <w:rFonts w:ascii="Times New Roman" w:hAnsi="Times New Roman" w:cs="Times New Roman"/>
          <w:sz w:val="24"/>
          <w:szCs w:val="24"/>
          <w:vertAlign w:val="superscript"/>
        </w:rPr>
        <w:t>6</w:t>
      </w:r>
      <w:r w:rsidRPr="00FB502C">
        <w:rPr>
          <w:rFonts w:ascii="Times New Roman" w:hAnsi="Times New Roman" w:cs="Times New Roman"/>
          <w:sz w:val="24"/>
          <w:szCs w:val="24"/>
        </w:rPr>
        <w:t>Department of Public Health Sciences, Clemson University</w:t>
      </w:r>
      <w:r>
        <w:rPr>
          <w:rFonts w:ascii="Times New Roman" w:hAnsi="Times New Roman" w:cs="Times New Roman"/>
          <w:sz w:val="24"/>
          <w:szCs w:val="24"/>
        </w:rPr>
        <w:t xml:space="preserve">, </w:t>
      </w:r>
      <w:r w:rsidRPr="00FB502C">
        <w:rPr>
          <w:rFonts w:ascii="Times New Roman" w:hAnsi="Times New Roman" w:cs="Times New Roman"/>
          <w:sz w:val="24"/>
          <w:szCs w:val="24"/>
        </w:rPr>
        <w:t>Clemson, SC</w:t>
      </w:r>
    </w:p>
    <w:p w14:paraId="15AA7D9F" w14:textId="77777777" w:rsidR="003733B6" w:rsidRDefault="003733B6" w:rsidP="003733B6">
      <w:pPr>
        <w:rPr>
          <w:rFonts w:ascii="Times New Roman" w:hAnsi="Times New Roman" w:cs="Times New Roman"/>
          <w:sz w:val="24"/>
          <w:szCs w:val="24"/>
        </w:rPr>
      </w:pPr>
    </w:p>
    <w:p w14:paraId="37DB6224" w14:textId="61B91D6B" w:rsidR="003733B6" w:rsidRPr="000D0291" w:rsidRDefault="003733B6" w:rsidP="003733B6">
      <w:pPr>
        <w:rPr>
          <w:rFonts w:ascii="Times New Roman" w:hAnsi="Times New Roman" w:cs="Times New Roman"/>
          <w:sz w:val="24"/>
          <w:szCs w:val="24"/>
        </w:rPr>
      </w:pPr>
      <w:r w:rsidRPr="000D0291">
        <w:rPr>
          <w:rFonts w:ascii="Times New Roman" w:hAnsi="Times New Roman" w:cs="Times New Roman"/>
          <w:sz w:val="24"/>
          <w:szCs w:val="24"/>
        </w:rPr>
        <w:t>Corresponding Author</w:t>
      </w:r>
      <w:r>
        <w:rPr>
          <w:rFonts w:ascii="Times New Roman" w:hAnsi="Times New Roman" w:cs="Times New Roman"/>
          <w:sz w:val="24"/>
          <w:szCs w:val="24"/>
        </w:rPr>
        <w:t>:</w:t>
      </w:r>
      <w:r w:rsidRPr="000D0291">
        <w:rPr>
          <w:rFonts w:ascii="Times New Roman" w:hAnsi="Times New Roman" w:cs="Times New Roman"/>
          <w:sz w:val="24"/>
          <w:szCs w:val="24"/>
        </w:rPr>
        <w:t xml:space="preserve"> </w:t>
      </w:r>
      <w:r>
        <w:rPr>
          <w:rFonts w:ascii="Times New Roman" w:hAnsi="Times New Roman" w:cs="Times New Roman"/>
          <w:sz w:val="24"/>
          <w:szCs w:val="24"/>
        </w:rPr>
        <w:t>Xiao-Cheng Wu</w:t>
      </w:r>
    </w:p>
    <w:p w14:paraId="7650BE3D" w14:textId="77777777" w:rsidR="003733B6" w:rsidRDefault="003733B6" w:rsidP="003733B6">
      <w:pPr>
        <w:rPr>
          <w:rFonts w:ascii="Times New Roman" w:hAnsi="Times New Roman" w:cs="Times New Roman"/>
          <w:sz w:val="24"/>
          <w:szCs w:val="24"/>
        </w:rPr>
      </w:pPr>
      <w:r w:rsidRPr="001B0BEE">
        <w:rPr>
          <w:rFonts w:ascii="Times New Roman" w:hAnsi="Times New Roman" w:cs="Times New Roman"/>
          <w:sz w:val="24"/>
          <w:szCs w:val="24"/>
        </w:rPr>
        <w:t>LSU School of Public Health</w:t>
      </w:r>
      <w:r>
        <w:rPr>
          <w:rFonts w:ascii="Times New Roman" w:hAnsi="Times New Roman" w:cs="Times New Roman"/>
          <w:sz w:val="24"/>
          <w:szCs w:val="24"/>
        </w:rPr>
        <w:t xml:space="preserve">, </w:t>
      </w:r>
      <w:r w:rsidRPr="001B0BEE">
        <w:rPr>
          <w:rFonts w:ascii="Times New Roman" w:hAnsi="Times New Roman" w:cs="Times New Roman"/>
          <w:sz w:val="24"/>
          <w:szCs w:val="24"/>
        </w:rPr>
        <w:t xml:space="preserve">2020 </w:t>
      </w:r>
      <w:proofErr w:type="spellStart"/>
      <w:r w:rsidRPr="001B0BEE">
        <w:rPr>
          <w:rFonts w:ascii="Times New Roman" w:hAnsi="Times New Roman" w:cs="Times New Roman"/>
          <w:sz w:val="24"/>
          <w:szCs w:val="24"/>
        </w:rPr>
        <w:t>Gravier</w:t>
      </w:r>
      <w:proofErr w:type="spellEnd"/>
      <w:r w:rsidRPr="001B0BEE">
        <w:rPr>
          <w:rFonts w:ascii="Times New Roman" w:hAnsi="Times New Roman" w:cs="Times New Roman"/>
          <w:sz w:val="24"/>
          <w:szCs w:val="24"/>
        </w:rPr>
        <w:t xml:space="preserve"> Street, 3rd Floor</w:t>
      </w:r>
      <w:r>
        <w:rPr>
          <w:rFonts w:ascii="Times New Roman" w:hAnsi="Times New Roman" w:cs="Times New Roman"/>
          <w:sz w:val="24"/>
          <w:szCs w:val="24"/>
        </w:rPr>
        <w:t xml:space="preserve">, </w:t>
      </w:r>
      <w:r w:rsidRPr="001B0BEE">
        <w:rPr>
          <w:rFonts w:ascii="Times New Roman" w:hAnsi="Times New Roman" w:cs="Times New Roman"/>
          <w:sz w:val="24"/>
          <w:szCs w:val="24"/>
        </w:rPr>
        <w:t xml:space="preserve">New Orleans, LA 70112 </w:t>
      </w:r>
    </w:p>
    <w:p w14:paraId="129F2F16" w14:textId="77777777" w:rsidR="003733B6" w:rsidRPr="000D0291" w:rsidRDefault="003733B6" w:rsidP="003733B6">
      <w:pPr>
        <w:rPr>
          <w:rFonts w:ascii="Times New Roman" w:hAnsi="Times New Roman" w:cs="Times New Roman"/>
          <w:sz w:val="24"/>
          <w:szCs w:val="24"/>
        </w:rPr>
      </w:pPr>
      <w:r>
        <w:rPr>
          <w:rFonts w:ascii="Times New Roman" w:hAnsi="Times New Roman" w:cs="Times New Roman"/>
          <w:sz w:val="24"/>
          <w:szCs w:val="24"/>
        </w:rPr>
        <w:t xml:space="preserve">Phone: </w:t>
      </w:r>
      <w:r w:rsidRPr="001B0BEE">
        <w:rPr>
          <w:rFonts w:ascii="Times New Roman" w:hAnsi="Times New Roman" w:cs="Times New Roman"/>
          <w:sz w:val="24"/>
          <w:szCs w:val="24"/>
        </w:rPr>
        <w:t>504-568-5763</w:t>
      </w:r>
    </w:p>
    <w:p w14:paraId="7FDE1B75" w14:textId="77777777" w:rsidR="003733B6" w:rsidRDefault="003733B6" w:rsidP="003733B6">
      <w:pPr>
        <w:rPr>
          <w:rFonts w:ascii="Times New Roman" w:hAnsi="Times New Roman" w:cs="Times New Roman"/>
          <w:sz w:val="24"/>
          <w:szCs w:val="24"/>
        </w:rPr>
      </w:pPr>
      <w:r>
        <w:rPr>
          <w:rFonts w:ascii="Times New Roman" w:hAnsi="Times New Roman" w:cs="Times New Roman"/>
          <w:sz w:val="24"/>
          <w:szCs w:val="24"/>
        </w:rPr>
        <w:t xml:space="preserve">Email: </w:t>
      </w:r>
      <w:hyperlink r:id="rId6" w:history="1">
        <w:r w:rsidRPr="0083090D">
          <w:rPr>
            <w:rStyle w:val="Hyperlink"/>
            <w:rFonts w:ascii="Times New Roman" w:hAnsi="Times New Roman" w:cs="Times New Roman"/>
            <w:sz w:val="24"/>
            <w:szCs w:val="24"/>
          </w:rPr>
          <w:t>xwu@lsuhsc.edu</w:t>
        </w:r>
      </w:hyperlink>
    </w:p>
    <w:p w14:paraId="4AB620A9" w14:textId="77777777" w:rsidR="00AA79FC" w:rsidRDefault="00AA79FC" w:rsidP="00AA79FC">
      <w:pPr>
        <w:rPr>
          <w:rFonts w:ascii="Times New Roman" w:hAnsi="Times New Roman" w:cs="Times New Roman"/>
          <w:b/>
          <w:sz w:val="24"/>
          <w:szCs w:val="24"/>
        </w:rPr>
      </w:pPr>
    </w:p>
    <w:p w14:paraId="480FCEE2" w14:textId="77777777" w:rsidR="00AA79FC" w:rsidRDefault="00AA79FC" w:rsidP="00AA79FC">
      <w:pPr>
        <w:rPr>
          <w:rFonts w:ascii="Times New Roman" w:hAnsi="Times New Roman" w:cs="Times New Roman"/>
          <w:b/>
          <w:sz w:val="24"/>
          <w:szCs w:val="24"/>
        </w:rPr>
      </w:pPr>
    </w:p>
    <w:p w14:paraId="218085A0" w14:textId="77777777" w:rsidR="00AA79FC" w:rsidRDefault="00AA79FC" w:rsidP="00C0370A">
      <w:pPr>
        <w:pStyle w:val="Caption"/>
        <w:rPr>
          <w:rFonts w:ascii="Times New Roman" w:hAnsi="Times New Roman" w:cs="Times New Roman"/>
          <w:b/>
          <w:iCs w:val="0"/>
          <w:sz w:val="24"/>
          <w:szCs w:val="24"/>
        </w:rPr>
      </w:pPr>
    </w:p>
    <w:p w14:paraId="7AD692F2" w14:textId="77777777" w:rsidR="00AA79FC" w:rsidRDefault="00AA79FC" w:rsidP="00C0370A">
      <w:pPr>
        <w:pStyle w:val="Caption"/>
        <w:rPr>
          <w:rFonts w:ascii="Times New Roman" w:hAnsi="Times New Roman" w:cs="Times New Roman"/>
          <w:b/>
          <w:iCs w:val="0"/>
          <w:sz w:val="24"/>
          <w:szCs w:val="24"/>
        </w:rPr>
      </w:pPr>
    </w:p>
    <w:p w14:paraId="14D03BB0" w14:textId="77777777" w:rsidR="00AA79FC" w:rsidRDefault="00AA79FC" w:rsidP="00C0370A">
      <w:pPr>
        <w:pStyle w:val="Caption"/>
        <w:rPr>
          <w:rFonts w:ascii="Times New Roman" w:hAnsi="Times New Roman" w:cs="Times New Roman"/>
          <w:b/>
          <w:iCs w:val="0"/>
          <w:sz w:val="24"/>
          <w:szCs w:val="24"/>
        </w:rPr>
      </w:pPr>
    </w:p>
    <w:p w14:paraId="138E8676" w14:textId="77777777" w:rsidR="00AA79FC" w:rsidRDefault="00AA79FC" w:rsidP="00C0370A">
      <w:pPr>
        <w:pStyle w:val="Caption"/>
        <w:rPr>
          <w:rFonts w:ascii="Times New Roman" w:hAnsi="Times New Roman" w:cs="Times New Roman"/>
          <w:b/>
          <w:iCs w:val="0"/>
          <w:sz w:val="24"/>
          <w:szCs w:val="24"/>
        </w:rPr>
      </w:pPr>
    </w:p>
    <w:p w14:paraId="5DC92732" w14:textId="77777777" w:rsidR="00AA79FC" w:rsidRDefault="00AA79FC" w:rsidP="00C0370A">
      <w:pPr>
        <w:pStyle w:val="Caption"/>
        <w:rPr>
          <w:rFonts w:ascii="Times New Roman" w:hAnsi="Times New Roman" w:cs="Times New Roman"/>
          <w:b/>
          <w:iCs w:val="0"/>
          <w:sz w:val="24"/>
          <w:szCs w:val="24"/>
        </w:rPr>
      </w:pPr>
    </w:p>
    <w:p w14:paraId="08F18A33" w14:textId="77777777" w:rsidR="00AA79FC" w:rsidRDefault="00AA79FC" w:rsidP="00C0370A">
      <w:pPr>
        <w:pStyle w:val="Caption"/>
        <w:rPr>
          <w:rFonts w:ascii="Times New Roman" w:hAnsi="Times New Roman" w:cs="Times New Roman"/>
          <w:b/>
          <w:iCs w:val="0"/>
          <w:sz w:val="24"/>
          <w:szCs w:val="24"/>
        </w:rPr>
      </w:pPr>
    </w:p>
    <w:p w14:paraId="354F829F" w14:textId="77777777" w:rsidR="00AA79FC" w:rsidRDefault="00AA79FC" w:rsidP="00C0370A">
      <w:pPr>
        <w:pStyle w:val="Caption"/>
        <w:rPr>
          <w:rFonts w:ascii="Times New Roman" w:hAnsi="Times New Roman" w:cs="Times New Roman"/>
          <w:b/>
          <w:iCs w:val="0"/>
          <w:sz w:val="24"/>
          <w:szCs w:val="24"/>
        </w:rPr>
      </w:pPr>
    </w:p>
    <w:p w14:paraId="4652DB2A" w14:textId="77777777" w:rsidR="00AA79FC" w:rsidRDefault="00AA79FC" w:rsidP="00C0370A">
      <w:pPr>
        <w:pStyle w:val="Caption"/>
        <w:rPr>
          <w:rFonts w:ascii="Times New Roman" w:hAnsi="Times New Roman" w:cs="Times New Roman"/>
          <w:b/>
          <w:iCs w:val="0"/>
          <w:sz w:val="24"/>
          <w:szCs w:val="24"/>
        </w:rPr>
      </w:pPr>
    </w:p>
    <w:p w14:paraId="73AEA615" w14:textId="77777777" w:rsidR="00370B22" w:rsidRPr="00370B22" w:rsidRDefault="00C0370A" w:rsidP="00C0370A">
      <w:pPr>
        <w:pStyle w:val="Caption"/>
        <w:rPr>
          <w:rFonts w:ascii="Times New Roman" w:hAnsi="Times New Roman" w:cs="Times New Roman"/>
          <w:sz w:val="24"/>
          <w:szCs w:val="24"/>
        </w:rPr>
      </w:pPr>
      <w:r w:rsidRPr="00C0370A">
        <w:rPr>
          <w:rFonts w:ascii="Times New Roman" w:hAnsi="Times New Roman" w:cs="Times New Roman"/>
          <w:b/>
          <w:iCs w:val="0"/>
          <w:sz w:val="24"/>
          <w:szCs w:val="24"/>
        </w:rPr>
        <w:lastRenderedPageBreak/>
        <w:t>Supplemental Material 1.</w:t>
      </w:r>
      <w:r>
        <w:rPr>
          <w:rFonts w:ascii="Times New Roman" w:hAnsi="Times New Roman" w:cs="Times New Roman"/>
          <w:sz w:val="24"/>
          <w:szCs w:val="24"/>
        </w:rPr>
        <w:t xml:space="preserve"> </w:t>
      </w:r>
      <w:r w:rsidR="00370B22" w:rsidRPr="00370B22">
        <w:rPr>
          <w:rFonts w:ascii="Times New Roman" w:hAnsi="Times New Roman" w:cs="Times New Roman"/>
          <w:sz w:val="24"/>
          <w:szCs w:val="24"/>
        </w:rPr>
        <w:t>Definition of Tumor Risks in Colon Cancer*</w:t>
      </w:r>
      <w:bookmarkEnd w:id="0"/>
      <w:bookmarkEnd w:id="1"/>
    </w:p>
    <w:tbl>
      <w:tblPr>
        <w:tblStyle w:val="TableGrid"/>
        <w:tblW w:w="0" w:type="auto"/>
        <w:tblLook w:val="04A0" w:firstRow="1" w:lastRow="0" w:firstColumn="1" w:lastColumn="0" w:noHBand="0" w:noVBand="1"/>
      </w:tblPr>
      <w:tblGrid>
        <w:gridCol w:w="2065"/>
        <w:gridCol w:w="7200"/>
      </w:tblGrid>
      <w:tr w:rsidR="00370B22" w:rsidRPr="00370B22" w14:paraId="4929920B" w14:textId="77777777" w:rsidTr="00532714">
        <w:trPr>
          <w:trHeight w:val="260"/>
        </w:trPr>
        <w:tc>
          <w:tcPr>
            <w:tcW w:w="2065" w:type="dxa"/>
          </w:tcPr>
          <w:p w14:paraId="0E266CF1"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Primary tumor (T)</w:t>
            </w:r>
          </w:p>
        </w:tc>
        <w:tc>
          <w:tcPr>
            <w:tcW w:w="7200" w:type="dxa"/>
          </w:tcPr>
          <w:p w14:paraId="732E1005" w14:textId="77777777" w:rsidR="00370B22" w:rsidRPr="00370B22" w:rsidRDefault="00370B22" w:rsidP="00C8288A">
            <w:pPr>
              <w:spacing w:line="276" w:lineRule="auto"/>
              <w:jc w:val="center"/>
              <w:rPr>
                <w:rFonts w:ascii="Times New Roman" w:hAnsi="Times New Roman" w:cs="Times New Roman"/>
                <w:sz w:val="24"/>
                <w:szCs w:val="24"/>
              </w:rPr>
            </w:pPr>
          </w:p>
        </w:tc>
      </w:tr>
      <w:tr w:rsidR="00370B22" w:rsidRPr="00370B22" w14:paraId="62393CF4" w14:textId="77777777" w:rsidTr="00532714">
        <w:trPr>
          <w:trHeight w:val="287"/>
        </w:trPr>
        <w:tc>
          <w:tcPr>
            <w:tcW w:w="2065" w:type="dxa"/>
          </w:tcPr>
          <w:p w14:paraId="5AD47E25"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T1</w:t>
            </w:r>
          </w:p>
        </w:tc>
        <w:tc>
          <w:tcPr>
            <w:tcW w:w="7200" w:type="dxa"/>
          </w:tcPr>
          <w:p w14:paraId="24F83C97"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Tumor invades submucosa</w:t>
            </w:r>
          </w:p>
        </w:tc>
      </w:tr>
      <w:tr w:rsidR="00370B22" w:rsidRPr="00370B22" w14:paraId="707BF2B7" w14:textId="77777777" w:rsidTr="00532714">
        <w:trPr>
          <w:trHeight w:val="260"/>
        </w:trPr>
        <w:tc>
          <w:tcPr>
            <w:tcW w:w="2065" w:type="dxa"/>
          </w:tcPr>
          <w:p w14:paraId="48E43D26"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T2</w:t>
            </w:r>
          </w:p>
        </w:tc>
        <w:tc>
          <w:tcPr>
            <w:tcW w:w="7200" w:type="dxa"/>
          </w:tcPr>
          <w:p w14:paraId="770AB2D8"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Tumor invades muscularis propria</w:t>
            </w:r>
          </w:p>
        </w:tc>
      </w:tr>
      <w:tr w:rsidR="00370B22" w:rsidRPr="00370B22" w14:paraId="3B5BAF34" w14:textId="77777777" w:rsidTr="00532714">
        <w:trPr>
          <w:trHeight w:val="323"/>
        </w:trPr>
        <w:tc>
          <w:tcPr>
            <w:tcW w:w="2065" w:type="dxa"/>
          </w:tcPr>
          <w:p w14:paraId="5E1B4632"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T3</w:t>
            </w:r>
          </w:p>
        </w:tc>
        <w:tc>
          <w:tcPr>
            <w:tcW w:w="7200" w:type="dxa"/>
          </w:tcPr>
          <w:p w14:paraId="5760E5C6"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 xml:space="preserve">Tumor invades through the muscularis propria into </w:t>
            </w:r>
            <w:proofErr w:type="spellStart"/>
            <w:r w:rsidRPr="00370B22">
              <w:rPr>
                <w:rFonts w:ascii="Times New Roman" w:hAnsi="Times New Roman" w:cs="Times New Roman"/>
                <w:sz w:val="24"/>
                <w:szCs w:val="24"/>
              </w:rPr>
              <w:t>pericolorectal</w:t>
            </w:r>
            <w:proofErr w:type="spellEnd"/>
            <w:r w:rsidRPr="00370B22">
              <w:rPr>
                <w:rFonts w:ascii="Times New Roman" w:hAnsi="Times New Roman" w:cs="Times New Roman"/>
                <w:sz w:val="24"/>
                <w:szCs w:val="24"/>
              </w:rPr>
              <w:t xml:space="preserve"> tissues</w:t>
            </w:r>
          </w:p>
        </w:tc>
      </w:tr>
      <w:tr w:rsidR="00370B22" w:rsidRPr="00370B22" w14:paraId="390510F8" w14:textId="77777777" w:rsidTr="00532714">
        <w:trPr>
          <w:trHeight w:val="521"/>
        </w:trPr>
        <w:tc>
          <w:tcPr>
            <w:tcW w:w="2065" w:type="dxa"/>
          </w:tcPr>
          <w:p w14:paraId="475D224D"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T4</w:t>
            </w:r>
          </w:p>
        </w:tc>
        <w:tc>
          <w:tcPr>
            <w:tcW w:w="7200" w:type="dxa"/>
          </w:tcPr>
          <w:p w14:paraId="5AF9B797"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Tumor invades the visceral peritoneum or invades or is adherent to other organs or structures</w:t>
            </w:r>
          </w:p>
        </w:tc>
      </w:tr>
      <w:tr w:rsidR="00370B22" w:rsidRPr="00370B22" w14:paraId="5D7121E2" w14:textId="77777777" w:rsidTr="00532714">
        <w:trPr>
          <w:trHeight w:val="323"/>
        </w:trPr>
        <w:tc>
          <w:tcPr>
            <w:tcW w:w="2065" w:type="dxa"/>
          </w:tcPr>
          <w:p w14:paraId="1268D044"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Regional lymph nodes (N)</w:t>
            </w:r>
          </w:p>
        </w:tc>
        <w:tc>
          <w:tcPr>
            <w:tcW w:w="7200" w:type="dxa"/>
          </w:tcPr>
          <w:p w14:paraId="5A0A6FD5" w14:textId="77777777" w:rsidR="00370B22" w:rsidRPr="00370B22" w:rsidRDefault="00370B22" w:rsidP="00C8288A">
            <w:pPr>
              <w:spacing w:line="276" w:lineRule="auto"/>
              <w:rPr>
                <w:rFonts w:ascii="Times New Roman" w:hAnsi="Times New Roman" w:cs="Times New Roman"/>
                <w:sz w:val="24"/>
                <w:szCs w:val="24"/>
              </w:rPr>
            </w:pPr>
          </w:p>
        </w:tc>
      </w:tr>
      <w:tr w:rsidR="00370B22" w:rsidRPr="00370B22" w14:paraId="43EADEDA" w14:textId="77777777" w:rsidTr="00532714">
        <w:trPr>
          <w:trHeight w:val="341"/>
        </w:trPr>
        <w:tc>
          <w:tcPr>
            <w:tcW w:w="2065" w:type="dxa"/>
          </w:tcPr>
          <w:p w14:paraId="582DBD55"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N1</w:t>
            </w:r>
          </w:p>
        </w:tc>
        <w:tc>
          <w:tcPr>
            <w:tcW w:w="7200" w:type="dxa"/>
          </w:tcPr>
          <w:p w14:paraId="6DC544BC"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Metastasis in 1-3 regional lymph nodes</w:t>
            </w:r>
          </w:p>
        </w:tc>
      </w:tr>
      <w:tr w:rsidR="00370B22" w:rsidRPr="00370B22" w14:paraId="585F2387" w14:textId="77777777" w:rsidTr="00532714">
        <w:trPr>
          <w:trHeight w:val="269"/>
        </w:trPr>
        <w:tc>
          <w:tcPr>
            <w:tcW w:w="2065" w:type="dxa"/>
          </w:tcPr>
          <w:p w14:paraId="24742318" w14:textId="77777777" w:rsidR="00370B22" w:rsidRPr="00370B22" w:rsidRDefault="00370B22" w:rsidP="00C8288A">
            <w:pPr>
              <w:spacing w:line="276" w:lineRule="auto"/>
              <w:jc w:val="center"/>
              <w:rPr>
                <w:rFonts w:ascii="Times New Roman" w:hAnsi="Times New Roman" w:cs="Times New Roman"/>
                <w:sz w:val="24"/>
                <w:szCs w:val="24"/>
              </w:rPr>
            </w:pPr>
            <w:r w:rsidRPr="00370B22">
              <w:rPr>
                <w:rFonts w:ascii="Times New Roman" w:hAnsi="Times New Roman" w:cs="Times New Roman"/>
                <w:sz w:val="24"/>
                <w:szCs w:val="24"/>
              </w:rPr>
              <w:t>N2</w:t>
            </w:r>
          </w:p>
        </w:tc>
        <w:tc>
          <w:tcPr>
            <w:tcW w:w="7200" w:type="dxa"/>
          </w:tcPr>
          <w:p w14:paraId="167317A7" w14:textId="77777777" w:rsidR="00370B22" w:rsidRPr="00370B22" w:rsidRDefault="00370B22" w:rsidP="00C8288A">
            <w:pPr>
              <w:spacing w:line="276" w:lineRule="auto"/>
              <w:rPr>
                <w:rFonts w:ascii="Times New Roman" w:hAnsi="Times New Roman" w:cs="Times New Roman"/>
                <w:sz w:val="24"/>
                <w:szCs w:val="24"/>
              </w:rPr>
            </w:pPr>
            <w:r w:rsidRPr="00370B22">
              <w:rPr>
                <w:rFonts w:ascii="Times New Roman" w:hAnsi="Times New Roman" w:cs="Times New Roman"/>
                <w:sz w:val="24"/>
                <w:szCs w:val="24"/>
              </w:rPr>
              <w:t>Metastasis in 4 or more regional lymph nodes</w:t>
            </w:r>
          </w:p>
        </w:tc>
      </w:tr>
    </w:tbl>
    <w:p w14:paraId="54E2E548" w14:textId="77777777" w:rsidR="00370B22" w:rsidRPr="00370B22" w:rsidRDefault="00370B22" w:rsidP="00370B22">
      <w:pPr>
        <w:spacing w:line="240" w:lineRule="auto"/>
        <w:rPr>
          <w:rFonts w:ascii="Times New Roman" w:hAnsi="Times New Roman" w:cs="Times New Roman"/>
          <w:sz w:val="24"/>
          <w:szCs w:val="24"/>
        </w:rPr>
      </w:pPr>
      <w:r w:rsidRPr="00370B22">
        <w:rPr>
          <w:rFonts w:ascii="Times New Roman" w:hAnsi="Times New Roman" w:cs="Times New Roman"/>
          <w:sz w:val="24"/>
          <w:szCs w:val="24"/>
        </w:rPr>
        <w:t xml:space="preserve">*refer to </w:t>
      </w:r>
      <w:hyperlink r:id="rId7" w:history="1">
        <w:r w:rsidRPr="00370B22">
          <w:rPr>
            <w:rStyle w:val="Hyperlink"/>
            <w:rFonts w:ascii="Times New Roman" w:hAnsi="Times New Roman" w:cs="Times New Roman"/>
            <w:sz w:val="24"/>
            <w:szCs w:val="24"/>
          </w:rPr>
          <w:t>https://cancerstaging.org/references-tools/quickreferences/Documents/ColonMedium.pdf</w:t>
        </w:r>
      </w:hyperlink>
      <w:r w:rsidRPr="00370B22">
        <w:rPr>
          <w:rFonts w:ascii="Times New Roman" w:hAnsi="Times New Roman" w:cs="Times New Roman"/>
          <w:sz w:val="24"/>
          <w:szCs w:val="24"/>
        </w:rPr>
        <w:t xml:space="preserve"> and </w:t>
      </w:r>
      <w:hyperlink r:id="rId8" w:history="1">
        <w:r w:rsidRPr="00370B22">
          <w:rPr>
            <w:rStyle w:val="Hyperlink"/>
            <w:rFonts w:ascii="Times New Roman" w:hAnsi="Times New Roman" w:cs="Times New Roman"/>
            <w:sz w:val="24"/>
            <w:szCs w:val="24"/>
          </w:rPr>
          <w:t>https://emedicine.medscape.com/article/2006674-overview</w:t>
        </w:r>
      </w:hyperlink>
      <w:r w:rsidRPr="00370B22">
        <w:rPr>
          <w:rFonts w:ascii="Times New Roman" w:hAnsi="Times New Roman" w:cs="Times New Roman"/>
          <w:sz w:val="24"/>
          <w:szCs w:val="24"/>
        </w:rPr>
        <w:t xml:space="preserve"> </w:t>
      </w:r>
    </w:p>
    <w:p w14:paraId="1F82E2EF" w14:textId="77777777" w:rsidR="00532714" w:rsidRDefault="00532714">
      <w:pPr>
        <w:rPr>
          <w:rFonts w:ascii="Times New Roman" w:hAnsi="Times New Roman" w:cs="Times New Roman"/>
          <w:b/>
          <w:sz w:val="24"/>
          <w:szCs w:val="24"/>
        </w:rPr>
      </w:pPr>
    </w:p>
    <w:p w14:paraId="7B48B440" w14:textId="77777777" w:rsidR="00530213" w:rsidRPr="00370B22" w:rsidRDefault="00D12E80">
      <w:pPr>
        <w:rPr>
          <w:rFonts w:ascii="Times New Roman" w:hAnsi="Times New Roman" w:cs="Times New Roman"/>
          <w:sz w:val="24"/>
          <w:szCs w:val="24"/>
        </w:rPr>
      </w:pPr>
      <w:r w:rsidRPr="00370B22">
        <w:rPr>
          <w:rFonts w:ascii="Times New Roman" w:hAnsi="Times New Roman" w:cs="Times New Roman"/>
          <w:b/>
          <w:sz w:val="24"/>
          <w:szCs w:val="24"/>
        </w:rPr>
        <w:t xml:space="preserve">Supplemental Material </w:t>
      </w:r>
      <w:r w:rsidR="00C0370A">
        <w:rPr>
          <w:rFonts w:ascii="Times New Roman" w:hAnsi="Times New Roman" w:cs="Times New Roman"/>
          <w:b/>
          <w:sz w:val="24"/>
          <w:szCs w:val="24"/>
        </w:rPr>
        <w:t>2</w:t>
      </w:r>
      <w:r w:rsidRPr="00370B22">
        <w:rPr>
          <w:rFonts w:ascii="Times New Roman" w:hAnsi="Times New Roman" w:cs="Times New Roman"/>
          <w:sz w:val="24"/>
          <w:szCs w:val="24"/>
        </w:rPr>
        <w:t>. Calculation of FOLFOX RDI</w:t>
      </w:r>
    </w:p>
    <w:p w14:paraId="2F37FBC1" w14:textId="6D18FA83" w:rsidR="00D12E80" w:rsidRPr="00370B22" w:rsidRDefault="00D12E80" w:rsidP="00D12E80">
      <w:pPr>
        <w:rPr>
          <w:rFonts w:ascii="Times New Roman" w:hAnsi="Times New Roman" w:cs="Times New Roman"/>
          <w:sz w:val="24"/>
          <w:szCs w:val="24"/>
        </w:rPr>
      </w:pPr>
      <w:r w:rsidRPr="00370B22">
        <w:rPr>
          <w:rFonts w:ascii="Times New Roman" w:hAnsi="Times New Roman" w:cs="Times New Roman"/>
          <w:sz w:val="24"/>
          <w:szCs w:val="24"/>
        </w:rPr>
        <w:t xml:space="preserve">Chemotherapy relative dose intensity (RDI) was the ratio of delivered dose intensity (DDI) to the standard dose intensity (SDI). If the patient received fewer cycles than recommend standard </w:t>
      </w:r>
      <w:bookmarkStart w:id="3" w:name="_GoBack"/>
      <w:r w:rsidRPr="00370B22">
        <w:rPr>
          <w:rFonts w:ascii="Times New Roman" w:hAnsi="Times New Roman" w:cs="Times New Roman"/>
          <w:sz w:val="24"/>
          <w:szCs w:val="24"/>
        </w:rPr>
        <w:t xml:space="preserve">cycles, we assumed the drug dosage is zero for the missing cycles, and </w:t>
      </w:r>
      <w:r w:rsidR="00555705">
        <w:rPr>
          <w:rFonts w:ascii="Times New Roman" w:hAnsi="Times New Roman" w:cs="Times New Roman"/>
          <w:sz w:val="24"/>
          <w:szCs w:val="24"/>
        </w:rPr>
        <w:t xml:space="preserve">the </w:t>
      </w:r>
      <w:r w:rsidRPr="00370B22">
        <w:rPr>
          <w:rFonts w:ascii="Times New Roman" w:hAnsi="Times New Roman" w:cs="Times New Roman"/>
          <w:sz w:val="24"/>
          <w:szCs w:val="24"/>
        </w:rPr>
        <w:t xml:space="preserve">corresponding </w:t>
      </w:r>
      <w:bookmarkEnd w:id="3"/>
      <w:r w:rsidRPr="00370B22">
        <w:rPr>
          <w:rFonts w:ascii="Times New Roman" w:hAnsi="Times New Roman" w:cs="Times New Roman"/>
          <w:sz w:val="24"/>
          <w:szCs w:val="24"/>
        </w:rPr>
        <w:t>duration of cycles was based on standard values. According to the 2011 National Comprehensive Cancer Network (NCCN) guidelines, which applies to the diagnosis year for colon cancer cases included in this study, the SDI is based on the following: FOLFOX 4 was administered every 2 weeks: Oxaliplatin 85 mg/m</w:t>
      </w:r>
      <w:r w:rsidRPr="00370B22">
        <w:rPr>
          <w:rFonts w:ascii="Times New Roman" w:hAnsi="Times New Roman" w:cs="Times New Roman"/>
          <w:sz w:val="24"/>
          <w:szCs w:val="24"/>
          <w:vertAlign w:val="superscript"/>
        </w:rPr>
        <w:t>2</w:t>
      </w:r>
      <w:r w:rsidRPr="00370B22">
        <w:rPr>
          <w:rFonts w:ascii="Times New Roman" w:hAnsi="Times New Roman" w:cs="Times New Roman"/>
          <w:sz w:val="24"/>
          <w:szCs w:val="24"/>
        </w:rPr>
        <w:t xml:space="preserve"> IV infusion on day 1 and leucovorin 200 mg/m</w:t>
      </w:r>
      <w:r w:rsidRPr="00370B22">
        <w:rPr>
          <w:rFonts w:ascii="Times New Roman" w:hAnsi="Times New Roman" w:cs="Times New Roman"/>
          <w:sz w:val="24"/>
          <w:szCs w:val="24"/>
          <w:vertAlign w:val="superscript"/>
        </w:rPr>
        <w:t xml:space="preserve">2 </w:t>
      </w:r>
      <w:r w:rsidRPr="00370B22">
        <w:rPr>
          <w:rFonts w:ascii="Times New Roman" w:hAnsi="Times New Roman" w:cs="Times New Roman"/>
          <w:sz w:val="24"/>
          <w:szCs w:val="24"/>
        </w:rPr>
        <w:t>IV infusion followed by fluorouracil (5-FU) 400 mg/m</w:t>
      </w:r>
      <w:r w:rsidRPr="00370B22">
        <w:rPr>
          <w:rFonts w:ascii="Times New Roman" w:hAnsi="Times New Roman" w:cs="Times New Roman"/>
          <w:sz w:val="24"/>
          <w:szCs w:val="24"/>
          <w:vertAlign w:val="superscript"/>
        </w:rPr>
        <w:t xml:space="preserve">2 </w:t>
      </w:r>
      <w:r w:rsidRPr="00370B22">
        <w:rPr>
          <w:rFonts w:ascii="Times New Roman" w:hAnsi="Times New Roman" w:cs="Times New Roman"/>
          <w:sz w:val="24"/>
          <w:szCs w:val="24"/>
        </w:rPr>
        <w:t>IV bolus and 600 mg/ m</w:t>
      </w:r>
      <w:r w:rsidRPr="00370B22">
        <w:rPr>
          <w:rFonts w:ascii="Times New Roman" w:hAnsi="Times New Roman" w:cs="Times New Roman"/>
          <w:sz w:val="24"/>
          <w:szCs w:val="24"/>
          <w:vertAlign w:val="superscript"/>
        </w:rPr>
        <w:t>2</w:t>
      </w:r>
      <w:r w:rsidRPr="00370B22">
        <w:rPr>
          <w:rFonts w:ascii="Times New Roman" w:hAnsi="Times New Roman" w:cs="Times New Roman"/>
          <w:sz w:val="24"/>
          <w:szCs w:val="24"/>
        </w:rPr>
        <w:t xml:space="preserve"> IV over 22 hours on days 1 and 2.</w:t>
      </w:r>
      <w:r w:rsidRPr="00370B22">
        <w:rPr>
          <w:rFonts w:ascii="Times New Roman" w:hAnsi="Times New Roman" w:cs="Times New Roman"/>
          <w:sz w:val="24"/>
          <w:szCs w:val="24"/>
        </w:rPr>
        <w:fldChar w:fldCharType="begin"/>
      </w:r>
      <w:r w:rsidRPr="00370B22">
        <w:rPr>
          <w:rFonts w:ascii="Times New Roman" w:hAnsi="Times New Roman" w:cs="Times New Roman"/>
          <w:sz w:val="24"/>
          <w:szCs w:val="24"/>
        </w:rPr>
        <w:instrText xml:space="preserve"> ADDIN EN.CITE &lt;EndNote&gt;&lt;Cite&gt;&lt;Author&gt;André&lt;/Author&gt;&lt;Year&gt;2004&lt;/Year&gt;&lt;RecNum&gt;73&lt;/RecNum&gt;&lt;DisplayText&gt;&lt;style face="superscript"&gt;3&lt;/style&gt;&lt;/DisplayText&gt;&lt;record&gt;&lt;rec-number&gt;73&lt;/rec-number&gt;&lt;foreign-keys&gt;&lt;key app="EN" db-id="dpxvsx55h2sdxmexz5q5vt2mesrp5exf2xs2" timestamp="1534276121"&gt;73&lt;/key&gt;&lt;/foreign-keys&gt;&lt;ref-type name="Journal Article"&gt;17&lt;/ref-type&gt;&lt;contributors&gt;&lt;authors&gt;&lt;author&gt;André, Thierry&lt;/author&gt;&lt;author&gt;Boni, Corrado&lt;/author&gt;&lt;author&gt;Mounedji-Boudiaf, Lamia&lt;/author&gt;&lt;author&gt;Navarro, Matilde&lt;/author&gt;&lt;author&gt;Tabernero, Josep&lt;/author&gt;&lt;author&gt;Hickish, Tamas&lt;/author&gt;&lt;author&gt;Topham, Clare&lt;/author&gt;&lt;author&gt;Zaninelli, Marta&lt;/author&gt;&lt;author&gt;Clingan, Philip&lt;/author&gt;&lt;author&gt;Bridgewater, John&lt;/author&gt;&lt;/authors&gt;&lt;/contributors&gt;&lt;titles&gt;&lt;title&gt;Oxaliplatin, fluorouracil, and leucovorin as adjuvant treatment for colon cancer&lt;/title&gt;&lt;secondary-title&gt;New England Journal of Medicine&lt;/secondary-title&gt;&lt;/titles&gt;&lt;periodical&gt;&lt;full-title&gt;New England Journal of Medicine&lt;/full-title&gt;&lt;/periodical&gt;&lt;pages&gt;2343-2351&lt;/pages&gt;&lt;volume&gt;350&lt;/volume&gt;&lt;number&gt;23&lt;/number&gt;&lt;dates&gt;&lt;year&gt;2004&lt;/year&gt;&lt;/dates&gt;&lt;isbn&gt;0028-4793&lt;/isbn&gt;&lt;urls&gt;&lt;/urls&gt;&lt;/record&gt;&lt;/Cite&gt;&lt;/EndNote&gt;</w:instrText>
      </w:r>
      <w:r w:rsidRPr="00370B22">
        <w:rPr>
          <w:rFonts w:ascii="Times New Roman" w:hAnsi="Times New Roman" w:cs="Times New Roman"/>
          <w:sz w:val="24"/>
          <w:szCs w:val="24"/>
        </w:rPr>
        <w:fldChar w:fldCharType="separate"/>
      </w:r>
      <w:r w:rsidRPr="00370B22">
        <w:rPr>
          <w:rFonts w:ascii="Times New Roman" w:hAnsi="Times New Roman" w:cs="Times New Roman"/>
          <w:noProof/>
          <w:sz w:val="24"/>
          <w:szCs w:val="24"/>
          <w:vertAlign w:val="superscript"/>
        </w:rPr>
        <w:t>3</w:t>
      </w:r>
      <w:r w:rsidRPr="00370B22">
        <w:rPr>
          <w:rFonts w:ascii="Times New Roman" w:hAnsi="Times New Roman" w:cs="Times New Roman"/>
          <w:sz w:val="24"/>
          <w:szCs w:val="24"/>
        </w:rPr>
        <w:fldChar w:fldCharType="end"/>
      </w:r>
      <w:r w:rsidRPr="00370B22">
        <w:rPr>
          <w:rFonts w:ascii="Times New Roman" w:hAnsi="Times New Roman" w:cs="Times New Roman"/>
          <w:sz w:val="24"/>
          <w:szCs w:val="24"/>
        </w:rPr>
        <w:t xml:space="preserve"> </w:t>
      </w:r>
      <w:r w:rsidRPr="00370B22">
        <w:rPr>
          <w:rFonts w:ascii="Times New Roman" w:hAnsi="Times New Roman" w:cs="Times New Roman"/>
          <w:sz w:val="24"/>
          <w:szCs w:val="24"/>
          <w:vertAlign w:val="superscript"/>
        </w:rPr>
        <w:t xml:space="preserve"> </w:t>
      </w:r>
      <w:r w:rsidRPr="00370B22">
        <w:rPr>
          <w:rFonts w:ascii="Times New Roman" w:hAnsi="Times New Roman" w:cs="Times New Roman"/>
          <w:sz w:val="24"/>
          <w:szCs w:val="24"/>
        </w:rPr>
        <w:t>FOLFOX 6 was given every 2 weeks as oxaliplatin 85 mg/m</w:t>
      </w:r>
      <w:r w:rsidRPr="00370B22">
        <w:rPr>
          <w:rFonts w:ascii="Times New Roman" w:hAnsi="Times New Roman" w:cs="Times New Roman"/>
          <w:sz w:val="24"/>
          <w:szCs w:val="24"/>
          <w:vertAlign w:val="superscript"/>
        </w:rPr>
        <w:t>2</w:t>
      </w:r>
      <w:r w:rsidRPr="00370B22">
        <w:rPr>
          <w:rFonts w:ascii="Times New Roman" w:hAnsi="Times New Roman" w:cs="Times New Roman"/>
          <w:sz w:val="24"/>
          <w:szCs w:val="24"/>
        </w:rPr>
        <w:t xml:space="preserve"> IV infusion on day 1, leucovorin 400 mg/m</w:t>
      </w:r>
      <w:r w:rsidRPr="00370B22">
        <w:rPr>
          <w:rFonts w:ascii="Times New Roman" w:hAnsi="Times New Roman" w:cs="Times New Roman"/>
          <w:sz w:val="24"/>
          <w:szCs w:val="24"/>
          <w:vertAlign w:val="superscript"/>
        </w:rPr>
        <w:t xml:space="preserve">2 </w:t>
      </w:r>
      <w:r w:rsidRPr="00370B22">
        <w:rPr>
          <w:rFonts w:ascii="Times New Roman" w:hAnsi="Times New Roman" w:cs="Times New Roman"/>
          <w:sz w:val="24"/>
          <w:szCs w:val="24"/>
        </w:rPr>
        <w:t>IV followed by 5-FU 400 mg/m</w:t>
      </w:r>
      <w:r w:rsidRPr="00370B22">
        <w:rPr>
          <w:rFonts w:ascii="Times New Roman" w:hAnsi="Times New Roman" w:cs="Times New Roman"/>
          <w:sz w:val="24"/>
          <w:szCs w:val="24"/>
          <w:vertAlign w:val="superscript"/>
        </w:rPr>
        <w:t xml:space="preserve">2 </w:t>
      </w:r>
      <w:r w:rsidRPr="00370B22">
        <w:rPr>
          <w:rFonts w:ascii="Times New Roman" w:hAnsi="Times New Roman" w:cs="Times New Roman"/>
          <w:sz w:val="24"/>
          <w:szCs w:val="24"/>
        </w:rPr>
        <w:t>IV bolus on day 1, then 1200 mg/m</w:t>
      </w:r>
      <w:r w:rsidRPr="00370B22">
        <w:rPr>
          <w:rFonts w:ascii="Times New Roman" w:hAnsi="Times New Roman" w:cs="Times New Roman"/>
          <w:sz w:val="24"/>
          <w:szCs w:val="24"/>
          <w:vertAlign w:val="superscript"/>
        </w:rPr>
        <w:t>2</w:t>
      </w:r>
      <w:r w:rsidRPr="00370B22">
        <w:rPr>
          <w:rFonts w:ascii="Times New Roman" w:hAnsi="Times New Roman" w:cs="Times New Roman"/>
          <w:sz w:val="24"/>
          <w:szCs w:val="24"/>
        </w:rPr>
        <w:t>/day for 2 days (total 2400 mg/m</w:t>
      </w:r>
      <w:r w:rsidRPr="00370B22">
        <w:rPr>
          <w:rFonts w:ascii="Times New Roman" w:hAnsi="Times New Roman" w:cs="Times New Roman"/>
          <w:sz w:val="24"/>
          <w:szCs w:val="24"/>
          <w:vertAlign w:val="superscript"/>
        </w:rPr>
        <w:t xml:space="preserve">2 </w:t>
      </w:r>
      <w:r w:rsidRPr="00370B22">
        <w:rPr>
          <w:rFonts w:ascii="Times New Roman" w:hAnsi="Times New Roman" w:cs="Times New Roman"/>
          <w:sz w:val="24"/>
          <w:szCs w:val="24"/>
        </w:rPr>
        <w:t>over</w:t>
      </w:r>
      <w:r w:rsidRPr="00370B22">
        <w:rPr>
          <w:rFonts w:ascii="Times New Roman" w:hAnsi="Times New Roman" w:cs="Times New Roman"/>
          <w:sz w:val="24"/>
          <w:szCs w:val="24"/>
          <w:vertAlign w:val="superscript"/>
        </w:rPr>
        <w:t xml:space="preserve"> </w:t>
      </w:r>
      <w:r w:rsidRPr="00370B22">
        <w:rPr>
          <w:rFonts w:ascii="Times New Roman" w:hAnsi="Times New Roman" w:cs="Times New Roman"/>
          <w:sz w:val="24"/>
          <w:szCs w:val="24"/>
        </w:rPr>
        <w:t>46-48 hours) continuous infusion.</w:t>
      </w:r>
      <w:r w:rsidRPr="00370B22">
        <w:rPr>
          <w:rFonts w:ascii="Times New Roman" w:hAnsi="Times New Roman" w:cs="Times New Roman"/>
          <w:sz w:val="24"/>
          <w:szCs w:val="24"/>
        </w:rPr>
        <w:fldChar w:fldCharType="begin"/>
      </w:r>
      <w:r w:rsidRPr="00370B22">
        <w:rPr>
          <w:rFonts w:ascii="Times New Roman" w:hAnsi="Times New Roman" w:cs="Times New Roman"/>
          <w:sz w:val="24"/>
          <w:szCs w:val="24"/>
        </w:rPr>
        <w:instrText xml:space="preserve"> ADDIN EN.CITE &lt;EndNote&gt;&lt;Cite&gt;&lt;RecNum&gt;65&lt;/RecNum&gt;&lt;DisplayText&gt;&lt;style face="superscript"&gt;2&lt;/style&gt;&lt;/DisplayText&gt;&lt;record&gt;&lt;rec-number&gt;65&lt;/rec-number&gt;&lt;foreign-keys&gt;&lt;key app="EN" db-id="dpxvsx55h2sdxmexz5q5vt2mesrp5exf2xs2" timestamp="1532469018"&gt;65&lt;/key&gt;&lt;/foreign-keys&gt;&lt;ref-type name="Web Page"&gt;12&lt;/ref-type&gt;&lt;contributors&gt;&lt;/contributors&gt;&lt;titles&gt;&lt;title&gt;National Comprehensive Cancer Network. Archive NCCN Clinical Practice Guidelines in Oncology (NCCN Guidelines®) for Colon V.2011.&lt;/title&gt;&lt;/titles&gt;&lt;dates&gt;&lt;/dates&gt;&lt;urls&gt;&lt;/urls&gt;&lt;/record&gt;&lt;/Cite&gt;&lt;/EndNote&gt;</w:instrText>
      </w:r>
      <w:r w:rsidRPr="00370B22">
        <w:rPr>
          <w:rFonts w:ascii="Times New Roman" w:hAnsi="Times New Roman" w:cs="Times New Roman"/>
          <w:sz w:val="24"/>
          <w:szCs w:val="24"/>
        </w:rPr>
        <w:fldChar w:fldCharType="separate"/>
      </w:r>
      <w:r w:rsidRPr="00370B22">
        <w:rPr>
          <w:rFonts w:ascii="Times New Roman" w:hAnsi="Times New Roman" w:cs="Times New Roman"/>
          <w:noProof/>
          <w:sz w:val="24"/>
          <w:szCs w:val="24"/>
          <w:vertAlign w:val="superscript"/>
        </w:rPr>
        <w:t>2</w:t>
      </w:r>
      <w:r w:rsidRPr="00370B22">
        <w:rPr>
          <w:rFonts w:ascii="Times New Roman" w:hAnsi="Times New Roman" w:cs="Times New Roman"/>
          <w:sz w:val="24"/>
          <w:szCs w:val="24"/>
        </w:rPr>
        <w:fldChar w:fldCharType="end"/>
      </w:r>
      <w:r w:rsidRPr="00370B22">
        <w:rPr>
          <w:rFonts w:ascii="Times New Roman" w:hAnsi="Times New Roman" w:cs="Times New Roman"/>
          <w:sz w:val="24"/>
          <w:szCs w:val="24"/>
        </w:rPr>
        <w:t xml:space="preserve"> The standard chemotherapy course for both regimens were 12 cycles. Leucovorin is a reduced folic acid, which is used in combination with 5-FU to improve the tumor response.</w:t>
      </w:r>
      <w:r w:rsidRPr="00370B22">
        <w:rPr>
          <w:rFonts w:ascii="Times New Roman" w:hAnsi="Times New Roman" w:cs="Times New Roman"/>
          <w:sz w:val="24"/>
          <w:szCs w:val="24"/>
        </w:rPr>
        <w:fldChar w:fldCharType="begin"/>
      </w:r>
      <w:r w:rsidRPr="00370B22">
        <w:rPr>
          <w:rFonts w:ascii="Times New Roman" w:hAnsi="Times New Roman" w:cs="Times New Roman"/>
          <w:sz w:val="24"/>
          <w:szCs w:val="24"/>
        </w:rPr>
        <w:instrText xml:space="preserve"> ADDIN EN.CITE &lt;EndNote&gt;&lt;Cite&gt;&lt;Year&gt;1992&lt;/Year&gt;&lt;RecNum&gt;74&lt;/RecNum&gt;&lt;DisplayText&gt;&lt;style face="superscript"&gt;25&lt;/style&gt;&lt;/DisplayText&gt;&lt;record&gt;&lt;rec-number&gt;74&lt;/rec-number&gt;&lt;foreign-keys&gt;&lt;key app="EN" db-id="dpxvsx55h2sdxmexz5q5vt2mesrp5exf2xs2" timestamp="1534346815"&gt;74&lt;/key&gt;&lt;/foreign-keys&gt;&lt;ref-type name="Journal Article"&gt;17&lt;/ref-type&gt;&lt;contributors&gt;&lt;/contributors&gt;&lt;titles&gt;&lt;title&gt;Advanced Colorectal Cancer Meta-Analysis Project: Modulation of fluorouracil by leucovorin in patients with advanced colorectal cancer: evidence in terms of response rate. Advanced Colorectal Cancer Meta-Analysis Project&lt;/title&gt;&lt;secondary-title&gt;J Clin Oncol&lt;/secondary-title&gt;&lt;alt-title&gt;Journal of clinical oncology : official journal of the American Society of Clinical Oncology&lt;/alt-title&gt;&lt;/titles&gt;&lt;periodical&gt;&lt;full-title&gt;J Clin Oncol&lt;/full-title&gt;&lt;abbr-1&gt;Journal of clinical oncology : official journal of the American Society of Clinical Oncology&lt;/abbr-1&gt;&lt;/periodical&gt;&lt;alt-periodical&gt;&lt;full-title&gt;J Clin Oncol&lt;/full-title&gt;&lt;abbr-1&gt;Journal of clinical oncology : official journal of the American Society of Clinical Oncology&lt;/abbr-1&gt;&lt;/alt-periodical&gt;&lt;pages&gt;896-903&lt;/pages&gt;&lt;volume&gt;10&lt;/volume&gt;&lt;number&gt;6&lt;/number&gt;&lt;edition&gt;1992/06/01&lt;/edition&gt;&lt;keywords&gt;&lt;keyword&gt;Colorectal Neoplasms/*drug therapy/mortality/pathology&lt;/keyword&gt;&lt;keyword&gt;Drug Synergism&lt;/keyword&gt;&lt;keyword&gt;Drug Therapy, Combination&lt;/keyword&gt;&lt;keyword&gt;Fluorouracil/*administration &amp;amp; dosage&lt;/keyword&gt;&lt;keyword&gt;Humans&lt;/keyword&gt;&lt;keyword&gt;Leucovorin/*administration &amp;amp; dosage&lt;/keyword&gt;&lt;keyword&gt;Meta-Analysis as Topic&lt;/keyword&gt;&lt;keyword&gt;Randomized Controlled Trials as Topic&lt;/keyword&gt;&lt;keyword&gt;Survival Rate&lt;/keyword&gt;&lt;/keywords&gt;&lt;dates&gt;&lt;year&gt;1992&lt;/year&gt;&lt;pub-dates&gt;&lt;date&gt;Jun&lt;/date&gt;&lt;/pub-dates&gt;&lt;/dates&gt;&lt;isbn&gt;0732-183X (Print)&amp;#xD;0732-183x&lt;/isbn&gt;&lt;accession-num&gt;1534121&lt;/accession-num&gt;&lt;urls&gt;&lt;/urls&gt;&lt;electronic-resource-num&gt;10.1200/jco.1992.10.6.896&lt;/electronic-resource-num&gt;&lt;remote-database-provider&gt;NLM&lt;/remote-database-provider&gt;&lt;language&gt;eng&lt;/language&gt;&lt;/record&gt;&lt;/Cite&gt;&lt;/EndNote&gt;</w:instrText>
      </w:r>
      <w:r w:rsidRPr="00370B22">
        <w:rPr>
          <w:rFonts w:ascii="Times New Roman" w:hAnsi="Times New Roman" w:cs="Times New Roman"/>
          <w:sz w:val="24"/>
          <w:szCs w:val="24"/>
        </w:rPr>
        <w:fldChar w:fldCharType="separate"/>
      </w:r>
      <w:r w:rsidRPr="00370B22">
        <w:rPr>
          <w:rFonts w:ascii="Times New Roman" w:hAnsi="Times New Roman" w:cs="Times New Roman"/>
          <w:noProof/>
          <w:sz w:val="24"/>
          <w:szCs w:val="24"/>
          <w:vertAlign w:val="superscript"/>
        </w:rPr>
        <w:t>25</w:t>
      </w:r>
      <w:r w:rsidRPr="00370B22">
        <w:rPr>
          <w:rFonts w:ascii="Times New Roman" w:hAnsi="Times New Roman" w:cs="Times New Roman"/>
          <w:sz w:val="24"/>
          <w:szCs w:val="24"/>
        </w:rPr>
        <w:fldChar w:fldCharType="end"/>
      </w:r>
      <w:r w:rsidRPr="00370B22">
        <w:rPr>
          <w:rFonts w:ascii="Times New Roman" w:hAnsi="Times New Roman" w:cs="Times New Roman"/>
          <w:sz w:val="24"/>
          <w:szCs w:val="24"/>
        </w:rPr>
        <w:t xml:space="preserve"> The RDI of the regimens were the mean of the individual RDIs for Oxaliplatin and 5-FU. The formulas were as follows: </w:t>
      </w:r>
    </w:p>
    <w:p w14:paraId="11C1E260" w14:textId="77777777" w:rsidR="00D12E80" w:rsidRPr="00370B22" w:rsidRDefault="00D12E80" w:rsidP="00D12E80">
      <w:pPr>
        <w:rPr>
          <w:rFonts w:ascii="Times New Roman" w:hAnsi="Times New Roman" w:cs="Times New Roman"/>
          <w:sz w:val="24"/>
          <w:szCs w:val="24"/>
        </w:rPr>
      </w:pPr>
    </w:p>
    <w:p w14:paraId="56162662" w14:textId="77777777" w:rsidR="00D12E80" w:rsidRPr="00370B22" w:rsidRDefault="00B06C30" w:rsidP="00D12E80">
      <w:pPr>
        <w:rPr>
          <w:rFonts w:ascii="Times New Roman" w:hAnsi="Times New Roman" w:cs="Times New Roman"/>
          <w:sz w:val="24"/>
          <w:szCs w:val="24"/>
        </w:rPr>
      </w:pPr>
      <m:oMath>
        <m:f>
          <m:fPr>
            <m:type m:val="lin"/>
            <m:ctrlPr>
              <w:rPr>
                <w:rFonts w:ascii="Cambria Math" w:hAnsi="Cambria Math" w:cs="Times New Roman"/>
                <w:i/>
                <w:sz w:val="24"/>
                <w:szCs w:val="24"/>
              </w:rPr>
            </m:ctrlPr>
          </m:fPr>
          <m:num>
            <m:r>
              <m:rPr>
                <m:sty m:val="p"/>
              </m:rPr>
              <w:rPr>
                <w:rFonts w:ascii="Cambria Math" w:hAnsi="Cambria Math" w:cs="Times New Roman"/>
                <w:sz w:val="24"/>
                <w:szCs w:val="24"/>
              </w:rPr>
              <m:t>RDI=(DDI</m:t>
            </m:r>
          </m:num>
          <m:den>
            <m:r>
              <m:rPr>
                <m:sty m:val="p"/>
              </m:rPr>
              <w:rPr>
                <w:rFonts w:ascii="Cambria Math" w:hAnsi="Cambria Math" w:cs="Times New Roman"/>
                <w:sz w:val="24"/>
                <w:szCs w:val="24"/>
              </w:rPr>
              <m:t xml:space="preserve">SDI) </m:t>
            </m:r>
            <m:r>
              <w:rPr>
                <w:rFonts w:ascii="Cambria Math" w:hAnsi="Cambria Math" w:cs="Times New Roman"/>
                <w:sz w:val="24"/>
                <w:szCs w:val="24"/>
              </w:rPr>
              <m:t>x100%</m:t>
            </m:r>
          </m:den>
        </m:f>
      </m:oMath>
      <w:r w:rsidR="00D12E80" w:rsidRPr="00370B22">
        <w:rPr>
          <w:rFonts w:ascii="Times New Roman" w:hAnsi="Times New Roman" w:cs="Times New Roman"/>
          <w:sz w:val="24"/>
          <w:szCs w:val="24"/>
        </w:rPr>
        <w:t>, where:</w:t>
      </w:r>
    </w:p>
    <w:p w14:paraId="2ACB6F92" w14:textId="77777777" w:rsidR="00D12E80" w:rsidRPr="00370B22" w:rsidRDefault="00B06C30" w:rsidP="00D12E80">
      <w:pPr>
        <w:rPr>
          <w:rFonts w:ascii="Times New Roman" w:hAnsi="Times New Roman" w:cs="Times New Roman"/>
          <w:sz w:val="24"/>
          <w:szCs w:val="24"/>
        </w:rPr>
      </w:pPr>
      <m:oMathPara>
        <m:oMath>
          <m:f>
            <m:fPr>
              <m:type m:val="lin"/>
              <m:ctrlPr>
                <w:rPr>
                  <w:rFonts w:ascii="Cambria Math" w:hAnsi="Cambria Math" w:cs="Times New Roman"/>
                  <w:i/>
                  <w:sz w:val="24"/>
                  <w:szCs w:val="24"/>
                </w:rPr>
              </m:ctrlPr>
            </m:fPr>
            <m:num>
              <m:r>
                <m:rPr>
                  <m:sty m:val="p"/>
                </m:rPr>
                <w:rPr>
                  <w:rFonts w:ascii="Cambria Math" w:hAnsi="Cambria Math" w:cs="Times New Roman"/>
                  <w:sz w:val="24"/>
                  <w:szCs w:val="24"/>
                </w:rPr>
                <m:t xml:space="preserve">DDI=(delivered total dose in mg) </m:t>
              </m:r>
            </m:num>
            <m:den>
              <m:eqArr>
                <m:eqArrPr>
                  <m:ctrlPr>
                    <w:rPr>
                      <w:rFonts w:ascii="Cambria Math" w:hAnsi="Cambria Math" w:cs="Times New Roman"/>
                      <w:sz w:val="24"/>
                      <w:szCs w:val="24"/>
                    </w:rPr>
                  </m:ctrlPr>
                </m:eqArrPr>
                <m:e>
                  <m:r>
                    <m:rPr>
                      <m:sty m:val="p"/>
                    </m:rPr>
                    <w:rPr>
                      <w:rFonts w:ascii="Cambria Math" w:hAnsi="Cambria Math" w:cs="Times New Roman"/>
                      <w:sz w:val="24"/>
                      <w:szCs w:val="24"/>
                    </w:rPr>
                    <m:t xml:space="preserve">(BSA in </m:t>
                  </m:r>
                  <m:sSup>
                    <m:sSupPr>
                      <m:ctrlPr>
                        <w:rPr>
                          <w:rFonts w:ascii="Cambria Math" w:hAnsi="Cambria Math" w:cs="Times New Roman"/>
                          <w:sz w:val="24"/>
                          <w:szCs w:val="24"/>
                        </w:rPr>
                      </m:ctrlPr>
                    </m:sSupPr>
                    <m:e>
                      <m:r>
                        <w:rPr>
                          <w:rFonts w:ascii="Cambria Math" w:hAnsi="Cambria Math" w:cs="Times New Roman"/>
                          <w:sz w:val="24"/>
                          <w:szCs w:val="24"/>
                        </w:rPr>
                        <m:t>m</m:t>
                      </m:r>
                    </m:e>
                    <m:sup>
                      <m:r>
                        <w:rPr>
                          <w:rFonts w:ascii="Cambria Math" w:hAnsi="Cambria Math" w:cs="Times New Roman"/>
                          <w:sz w:val="24"/>
                          <w:szCs w:val="24"/>
                        </w:rPr>
                        <m:t>2</m:t>
                      </m:r>
                    </m:sup>
                  </m:sSup>
                  <m:r>
                    <m:rPr>
                      <m:sty m:val="p"/>
                    </m:rPr>
                    <w:rPr>
                      <w:rFonts w:ascii="Cambria Math" w:hAnsi="Cambria Math" w:cs="Times New Roman"/>
                      <w:sz w:val="24"/>
                      <w:szCs w:val="24"/>
                    </w:rPr>
                    <m:t>)/(actual time to receive chemotherapy+</m:t>
                  </m:r>
                </m:e>
                <m:e>
                  <m:r>
                    <m:rPr>
                      <m:sty m:val="p"/>
                    </m:rPr>
                    <w:rPr>
                      <w:rFonts w:ascii="Cambria Math" w:hAnsi="Cambria Math" w:cs="Times New Roman"/>
                      <w:sz w:val="24"/>
                      <w:szCs w:val="24"/>
                    </w:rPr>
                    <m:t>expected missing cycles, in weeks</m:t>
                  </m:r>
                </m:e>
              </m:eqArr>
            </m:den>
          </m:f>
          <m:r>
            <w:rPr>
              <w:rFonts w:ascii="Cambria Math" w:hAnsi="Cambria Math" w:cs="Times New Roman"/>
              <w:sz w:val="24"/>
              <w:szCs w:val="24"/>
            </w:rPr>
            <m:t>)</m:t>
          </m:r>
        </m:oMath>
      </m:oMathPara>
    </w:p>
    <w:p w14:paraId="5983F214" w14:textId="77777777" w:rsidR="00D12E80" w:rsidRPr="00370B22" w:rsidRDefault="00B06C30" w:rsidP="00D12E80">
      <w:pPr>
        <w:rPr>
          <w:rFonts w:ascii="Times New Roman" w:hAnsi="Times New Roman" w:cs="Times New Roman"/>
          <w:sz w:val="24"/>
          <w:szCs w:val="24"/>
          <w:shd w:val="pct15" w:color="auto" w:fill="FFFFFF"/>
        </w:rPr>
      </w:pPr>
      <m:oMathPara>
        <m:oMathParaPr>
          <m:jc m:val="left"/>
        </m:oMathParaPr>
        <m:oMath>
          <m:f>
            <m:fPr>
              <m:type m:val="lin"/>
              <m:ctrlPr>
                <w:rPr>
                  <w:rFonts w:ascii="Cambria Math" w:hAnsi="Cambria Math" w:cs="Times New Roman"/>
                  <w:i/>
                  <w:sz w:val="24"/>
                  <w:szCs w:val="24"/>
                </w:rPr>
              </m:ctrlPr>
            </m:fPr>
            <m:num>
              <m:r>
                <m:rPr>
                  <m:sty m:val="p"/>
                </m:rPr>
                <w:rPr>
                  <w:rFonts w:ascii="Cambria Math" w:hAnsi="Cambria Math" w:cs="Times New Roman"/>
                  <w:sz w:val="24"/>
                  <w:szCs w:val="24"/>
                </w:rPr>
                <m:t>SDI=(standard total dose in mg/</m:t>
              </m:r>
              <m:sSup>
                <m:sSupPr>
                  <m:ctrlPr>
                    <w:rPr>
                      <w:rFonts w:ascii="Cambria Math" w:hAnsi="Cambria Math" w:cs="Times New Roman"/>
                      <w:sz w:val="24"/>
                      <w:szCs w:val="24"/>
                    </w:rPr>
                  </m:ctrlPr>
                </m:sSupPr>
                <m:e>
                  <m:r>
                    <m:rPr>
                      <m:sty m:val="p"/>
                    </m:rPr>
                    <w:rPr>
                      <w:rFonts w:ascii="Cambria Math" w:hAnsi="Cambria Math" w:cs="Times New Roman"/>
                      <w:sz w:val="24"/>
                      <w:szCs w:val="24"/>
                    </w:rPr>
                    <m:t>m</m:t>
                  </m:r>
                </m:e>
                <m:sup>
                  <m:r>
                    <w:rPr>
                      <w:rFonts w:ascii="Cambria Math" w:hAnsi="Cambria Math" w:cs="Times New Roman"/>
                      <w:sz w:val="24"/>
                      <w:szCs w:val="24"/>
                    </w:rPr>
                    <m:t>2</m:t>
                  </m:r>
                </m:sup>
              </m:sSup>
              <m:r>
                <w:rPr>
                  <w:rFonts w:ascii="Cambria Math" w:hAnsi="Cambria Math" w:cs="Times New Roman"/>
                  <w:sz w:val="24"/>
                  <w:szCs w:val="24"/>
                </w:rPr>
                <m:t>)</m:t>
              </m:r>
            </m:num>
            <m:den>
              <m:r>
                <m:rPr>
                  <m:sty m:val="p"/>
                </m:rPr>
                <w:rPr>
                  <w:rFonts w:ascii="Cambria Math" w:hAnsi="Cambria Math" w:cs="Times New Roman"/>
                  <w:sz w:val="24"/>
                  <w:szCs w:val="24"/>
                </w:rPr>
                <m:t>(standard time to complete chemotherapy in weeks</m:t>
              </m:r>
            </m:den>
          </m:f>
          <m:r>
            <w:rPr>
              <w:rFonts w:ascii="Cambria Math" w:hAnsi="Cambria Math" w:cs="Times New Roman"/>
              <w:sz w:val="24"/>
              <w:szCs w:val="24"/>
            </w:rPr>
            <m:t>)</m:t>
          </m:r>
        </m:oMath>
      </m:oMathPara>
    </w:p>
    <w:p w14:paraId="35EAD264" w14:textId="77777777" w:rsidR="00D12E80" w:rsidRPr="00370B22" w:rsidRDefault="00D12E80" w:rsidP="00D12E80">
      <w:pPr>
        <w:rPr>
          <w:rFonts w:ascii="Times New Roman" w:hAnsi="Times New Roman" w:cs="Times New Roman"/>
          <w:sz w:val="24"/>
          <w:szCs w:val="24"/>
        </w:rPr>
      </w:pPr>
      <m:oMathPara>
        <m:oMathParaPr>
          <m:jc m:val="left"/>
        </m:oMathParaPr>
        <m:oMath>
          <m:r>
            <m:rPr>
              <m:sty m:val="p"/>
            </m:rPr>
            <w:rPr>
              <w:rFonts w:ascii="Cambria Math" w:hAnsi="Cambria Math" w:cs="Times New Roman"/>
              <w:sz w:val="24"/>
              <w:szCs w:val="24"/>
            </w:rPr>
            <m:t xml:space="preserve">BSA </m:t>
          </m:r>
          <m:d>
            <m:dPr>
              <m:ctrlPr>
                <w:rPr>
                  <w:rFonts w:ascii="Cambria Math" w:hAnsi="Cambria Math" w:cs="Times New Roman"/>
                  <w:sz w:val="24"/>
                  <w:szCs w:val="24"/>
                </w:rPr>
              </m:ctrlPr>
            </m:dPr>
            <m:e>
              <m:sSup>
                <m:sSupPr>
                  <m:ctrlPr>
                    <w:rPr>
                      <w:rFonts w:ascii="Cambria Math" w:hAnsi="Cambria Math" w:cs="Times New Roman"/>
                      <w:sz w:val="24"/>
                      <w:szCs w:val="24"/>
                      <w:vertAlign w:val="superscript"/>
                    </w:rPr>
                  </m:ctrlPr>
                </m:sSupPr>
                <m:e>
                  <m:r>
                    <m:rPr>
                      <m:sty m:val="p"/>
                    </m:rPr>
                    <w:rPr>
                      <w:rFonts w:ascii="Cambria Math" w:hAnsi="Cambria Math" w:cs="Times New Roman"/>
                      <w:sz w:val="24"/>
                      <w:szCs w:val="24"/>
                      <w:vertAlign w:val="superscript"/>
                    </w:rPr>
                    <m:t>m</m:t>
                  </m:r>
                </m:e>
                <m:sup>
                  <m:r>
                    <w:rPr>
                      <w:rFonts w:ascii="Cambria Math" w:hAnsi="Cambria Math" w:cs="Times New Roman"/>
                      <w:sz w:val="24"/>
                      <w:szCs w:val="24"/>
                      <w:vertAlign w:val="superscript"/>
                    </w:rPr>
                    <m:t>2</m:t>
                  </m:r>
                </m:sup>
              </m:sSup>
            </m:e>
          </m:d>
          <m:r>
            <m:rPr>
              <m:sty m:val="p"/>
            </m:rPr>
            <w:rPr>
              <w:rFonts w:ascii="Cambria Math" w:hAnsi="Cambria Math" w:cs="Times New Roman"/>
              <w:sz w:val="24"/>
              <w:szCs w:val="24"/>
            </w:rPr>
            <m:t>=</m:t>
          </m:r>
          <m:rad>
            <m:radPr>
              <m:degHide m:val="1"/>
              <m:ctrlPr>
                <w:rPr>
                  <w:rFonts w:ascii="Cambria Math" w:hAnsi="Cambria Math" w:cs="Times New Roman"/>
                  <w:i/>
                  <w:sz w:val="24"/>
                  <w:szCs w:val="24"/>
                </w:rPr>
              </m:ctrlPr>
            </m:radPr>
            <m:deg/>
            <m:e>
              <m:r>
                <w:rPr>
                  <w:rFonts w:ascii="Cambria Math" w:hAnsi="Cambria Math" w:cs="Times New Roman"/>
                  <w:sz w:val="24"/>
                  <w:szCs w:val="24"/>
                </w:rPr>
                <m:t>height in inch x weight in lb/3131</m:t>
              </m:r>
            </m:e>
          </m:rad>
        </m:oMath>
      </m:oMathPara>
    </w:p>
    <w:p w14:paraId="0C961A1A" w14:textId="77777777" w:rsidR="00D12E80" w:rsidRPr="00370B22" w:rsidRDefault="00D12E80">
      <w:pPr>
        <w:rPr>
          <w:rFonts w:ascii="Times New Roman" w:hAnsi="Times New Roman" w:cs="Times New Roman"/>
          <w:sz w:val="24"/>
          <w:szCs w:val="24"/>
        </w:rPr>
      </w:pPr>
    </w:p>
    <w:p w14:paraId="75740DC4" w14:textId="77777777" w:rsidR="00370B22" w:rsidRPr="00370B22" w:rsidRDefault="00C0370A" w:rsidP="00C0370A">
      <w:pPr>
        <w:rPr>
          <w:rFonts w:ascii="Times New Roman" w:eastAsia="Times New Roman" w:hAnsi="Times New Roman" w:cs="Times New Roman"/>
          <w:color w:val="000000"/>
          <w:sz w:val="24"/>
          <w:szCs w:val="24"/>
        </w:rPr>
      </w:pPr>
      <w:r w:rsidRPr="00C0370A">
        <w:rPr>
          <w:rFonts w:ascii="Times New Roman" w:hAnsi="Times New Roman" w:cs="Times New Roman"/>
          <w:b/>
          <w:sz w:val="24"/>
          <w:szCs w:val="24"/>
        </w:rPr>
        <w:lastRenderedPageBreak/>
        <w:t xml:space="preserve">Supplemental Material </w:t>
      </w:r>
      <w:r w:rsidR="007125FF">
        <w:rPr>
          <w:rFonts w:ascii="Times New Roman" w:hAnsi="Times New Roman" w:cs="Times New Roman"/>
          <w:b/>
          <w:sz w:val="24"/>
          <w:szCs w:val="24"/>
        </w:rPr>
        <w:t>3</w:t>
      </w:r>
      <w:r w:rsidRPr="00C0370A">
        <w:rPr>
          <w:rFonts w:ascii="Times New Roman" w:hAnsi="Times New Roman" w:cs="Times New Roman"/>
          <w:b/>
          <w:sz w:val="24"/>
          <w:szCs w:val="24"/>
        </w:rPr>
        <w:t>.</w:t>
      </w:r>
      <w:bookmarkStart w:id="4" w:name="_Toc6347834"/>
      <w:bookmarkStart w:id="5" w:name="_Toc6089021"/>
      <w:r>
        <w:rPr>
          <w:rFonts w:ascii="Times New Roman" w:hAnsi="Times New Roman" w:cs="Times New Roman"/>
          <w:b/>
          <w:sz w:val="24"/>
          <w:szCs w:val="24"/>
        </w:rPr>
        <w:t xml:space="preserve"> </w:t>
      </w:r>
      <w:r w:rsidR="00370B22" w:rsidRPr="00370B22">
        <w:rPr>
          <w:rFonts w:ascii="Times New Roman" w:eastAsia="Times New Roman" w:hAnsi="Times New Roman" w:cs="Times New Roman"/>
          <w:color w:val="000000"/>
          <w:sz w:val="24"/>
          <w:szCs w:val="24"/>
        </w:rPr>
        <w:t>Impact of RDI Levels of FOLFOX Chemotherapy on All-Cause Mortality and Cancer-Specific Mortality in High-Risk Stage III Colon Cancer---Univariable Analysis</w:t>
      </w:r>
      <w:bookmarkEnd w:id="4"/>
    </w:p>
    <w:bookmarkEnd w:id="5"/>
    <w:p w14:paraId="00410C7F" w14:textId="77777777" w:rsidR="00370B22" w:rsidRPr="00370B22" w:rsidRDefault="00370B22" w:rsidP="00370B22">
      <w:pPr>
        <w:spacing w:after="0" w:line="240" w:lineRule="auto"/>
        <w:rPr>
          <w:rFonts w:ascii="Times New Roman" w:hAnsi="Times New Roman" w:cs="Times New Roman"/>
          <w:sz w:val="24"/>
          <w:szCs w:val="24"/>
        </w:rPr>
      </w:pPr>
    </w:p>
    <w:tbl>
      <w:tblPr>
        <w:tblW w:w="9564" w:type="dxa"/>
        <w:jc w:val="center"/>
        <w:tblLook w:val="04A0" w:firstRow="1" w:lastRow="0" w:firstColumn="1" w:lastColumn="0" w:noHBand="0" w:noVBand="1"/>
      </w:tblPr>
      <w:tblGrid>
        <w:gridCol w:w="2785"/>
        <w:gridCol w:w="1265"/>
        <w:gridCol w:w="1975"/>
        <w:gridCol w:w="893"/>
        <w:gridCol w:w="1890"/>
        <w:gridCol w:w="756"/>
      </w:tblGrid>
      <w:tr w:rsidR="00370B22" w:rsidRPr="00370B22" w14:paraId="6B8D371A" w14:textId="77777777" w:rsidTr="003D6B0A">
        <w:trPr>
          <w:trHeight w:val="468"/>
          <w:jc w:val="center"/>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891404"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p>
        </w:tc>
        <w:tc>
          <w:tcPr>
            <w:tcW w:w="4133"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D1B9EA"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 xml:space="preserve">All-cause </w:t>
            </w:r>
            <w:proofErr w:type="gramStart"/>
            <w:r w:rsidRPr="00355AB0">
              <w:rPr>
                <w:rFonts w:ascii="Times New Roman" w:eastAsia="Times New Roman" w:hAnsi="Times New Roman" w:cs="Times New Roman"/>
                <w:color w:val="000000"/>
                <w:sz w:val="24"/>
                <w:szCs w:val="24"/>
              </w:rPr>
              <w:t>mortality  (</w:t>
            </w:r>
            <w:proofErr w:type="gramEnd"/>
            <w:r w:rsidRPr="00355AB0">
              <w:rPr>
                <w:rFonts w:ascii="Times New Roman" w:eastAsia="Times New Roman" w:hAnsi="Times New Roman" w:cs="Times New Roman"/>
                <w:color w:val="000000"/>
                <w:sz w:val="24"/>
                <w:szCs w:val="24"/>
              </w:rPr>
              <w:t>N=168)</w:t>
            </w:r>
          </w:p>
        </w:tc>
        <w:tc>
          <w:tcPr>
            <w:tcW w:w="26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633C8"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Cancer-specific mortality (N=160)</w:t>
            </w:r>
          </w:p>
        </w:tc>
      </w:tr>
      <w:tr w:rsidR="00370B22" w:rsidRPr="00370B22" w14:paraId="14F1ED07" w14:textId="77777777" w:rsidTr="003D6B0A">
        <w:trPr>
          <w:trHeight w:val="696"/>
          <w:jc w:val="center"/>
        </w:trPr>
        <w:tc>
          <w:tcPr>
            <w:tcW w:w="27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87CA2C"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w:t>
            </w:r>
          </w:p>
        </w:tc>
        <w:tc>
          <w:tcPr>
            <w:tcW w:w="126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63B8DA"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 of RDI lower than cutoffs</w:t>
            </w:r>
          </w:p>
        </w:tc>
        <w:tc>
          <w:tcPr>
            <w:tcW w:w="19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B745E2"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 xml:space="preserve">Crude HR                              </w:t>
            </w:r>
            <w:proofErr w:type="gramStart"/>
            <w:r w:rsidRPr="00355AB0">
              <w:rPr>
                <w:rFonts w:ascii="Times New Roman" w:eastAsia="Times New Roman" w:hAnsi="Times New Roman" w:cs="Times New Roman"/>
                <w:color w:val="000000"/>
                <w:sz w:val="24"/>
                <w:szCs w:val="24"/>
              </w:rPr>
              <w:t xml:space="preserve">   (</w:t>
            </w:r>
            <w:proofErr w:type="gramEnd"/>
            <w:r w:rsidRPr="00355AB0">
              <w:rPr>
                <w:rFonts w:ascii="Times New Roman" w:eastAsia="Times New Roman" w:hAnsi="Times New Roman" w:cs="Times New Roman"/>
                <w:color w:val="000000"/>
                <w:sz w:val="24"/>
                <w:szCs w:val="24"/>
              </w:rPr>
              <w:t>95% CI)</w:t>
            </w:r>
          </w:p>
        </w:tc>
        <w:tc>
          <w:tcPr>
            <w:tcW w:w="8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00BBE8"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P</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356DBB"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 xml:space="preserve">Crude HR                              </w:t>
            </w:r>
            <w:proofErr w:type="gramStart"/>
            <w:r w:rsidRPr="00355AB0">
              <w:rPr>
                <w:rFonts w:ascii="Times New Roman" w:eastAsia="Times New Roman" w:hAnsi="Times New Roman" w:cs="Times New Roman"/>
                <w:color w:val="000000"/>
                <w:sz w:val="24"/>
                <w:szCs w:val="24"/>
              </w:rPr>
              <w:t xml:space="preserve">   (</w:t>
            </w:r>
            <w:proofErr w:type="gramEnd"/>
            <w:r w:rsidRPr="00355AB0">
              <w:rPr>
                <w:rFonts w:ascii="Times New Roman" w:eastAsia="Times New Roman" w:hAnsi="Times New Roman" w:cs="Times New Roman"/>
                <w:color w:val="000000"/>
                <w:sz w:val="24"/>
                <w:szCs w:val="24"/>
              </w:rPr>
              <w:t>95% CI)</w:t>
            </w:r>
          </w:p>
        </w:tc>
        <w:tc>
          <w:tcPr>
            <w:tcW w:w="7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F4620"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P</w:t>
            </w:r>
          </w:p>
        </w:tc>
      </w:tr>
      <w:tr w:rsidR="00370B22" w:rsidRPr="00370B22" w14:paraId="25E3F99E" w14:textId="77777777" w:rsidTr="003D6B0A">
        <w:trPr>
          <w:trHeight w:val="84"/>
          <w:jc w:val="center"/>
        </w:trPr>
        <w:tc>
          <w:tcPr>
            <w:tcW w:w="2785" w:type="dxa"/>
            <w:tcBorders>
              <w:top w:val="single" w:sz="4" w:space="0" w:color="auto"/>
              <w:left w:val="single" w:sz="4" w:space="0" w:color="auto"/>
              <w:bottom w:val="nil"/>
              <w:right w:val="single" w:sz="4" w:space="0" w:color="auto"/>
            </w:tcBorders>
            <w:shd w:val="clear" w:color="auto" w:fill="auto"/>
            <w:noWrap/>
            <w:vAlign w:val="bottom"/>
            <w:hideMark/>
          </w:tcPr>
          <w:p w14:paraId="201EF040"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p>
        </w:tc>
        <w:tc>
          <w:tcPr>
            <w:tcW w:w="1265" w:type="dxa"/>
            <w:tcBorders>
              <w:top w:val="single" w:sz="4" w:space="0" w:color="auto"/>
              <w:left w:val="single" w:sz="4" w:space="0" w:color="auto"/>
              <w:bottom w:val="nil"/>
              <w:right w:val="single" w:sz="4" w:space="0" w:color="auto"/>
            </w:tcBorders>
            <w:shd w:val="clear" w:color="auto" w:fill="auto"/>
            <w:noWrap/>
            <w:vAlign w:val="bottom"/>
            <w:hideMark/>
          </w:tcPr>
          <w:p w14:paraId="5DF37E65"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single" w:sz="4" w:space="0" w:color="auto"/>
              <w:left w:val="single" w:sz="4" w:space="0" w:color="auto"/>
              <w:bottom w:val="nil"/>
              <w:right w:val="single" w:sz="4" w:space="0" w:color="auto"/>
            </w:tcBorders>
            <w:shd w:val="clear" w:color="auto" w:fill="auto"/>
            <w:noWrap/>
            <w:vAlign w:val="bottom"/>
            <w:hideMark/>
          </w:tcPr>
          <w:p w14:paraId="6144DCE7"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single" w:sz="4" w:space="0" w:color="auto"/>
              <w:left w:val="single" w:sz="4" w:space="0" w:color="auto"/>
              <w:bottom w:val="nil"/>
              <w:right w:val="single" w:sz="4" w:space="0" w:color="auto"/>
            </w:tcBorders>
            <w:shd w:val="clear" w:color="auto" w:fill="auto"/>
            <w:noWrap/>
            <w:vAlign w:val="bottom"/>
            <w:hideMark/>
          </w:tcPr>
          <w:p w14:paraId="29DB7F8F"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single" w:sz="4" w:space="0" w:color="auto"/>
              <w:left w:val="single" w:sz="4" w:space="0" w:color="auto"/>
              <w:bottom w:val="nil"/>
              <w:right w:val="single" w:sz="4" w:space="0" w:color="auto"/>
            </w:tcBorders>
            <w:shd w:val="clear" w:color="auto" w:fill="auto"/>
            <w:noWrap/>
            <w:vAlign w:val="bottom"/>
            <w:hideMark/>
          </w:tcPr>
          <w:p w14:paraId="64B94B2B"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single" w:sz="4" w:space="0" w:color="auto"/>
              <w:left w:val="single" w:sz="4" w:space="0" w:color="auto"/>
              <w:bottom w:val="nil"/>
              <w:right w:val="single" w:sz="4" w:space="0" w:color="auto"/>
            </w:tcBorders>
            <w:shd w:val="clear" w:color="auto" w:fill="auto"/>
            <w:noWrap/>
            <w:vAlign w:val="bottom"/>
            <w:hideMark/>
          </w:tcPr>
          <w:p w14:paraId="33858FA2"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7FEA58AF" w14:textId="77777777" w:rsidTr="003D6B0A">
        <w:trPr>
          <w:trHeight w:val="276"/>
          <w:jc w:val="center"/>
        </w:trPr>
        <w:tc>
          <w:tcPr>
            <w:tcW w:w="2785" w:type="dxa"/>
            <w:tcBorders>
              <w:top w:val="nil"/>
              <w:left w:val="single" w:sz="4" w:space="0" w:color="auto"/>
              <w:bottom w:val="nil"/>
              <w:right w:val="single" w:sz="4" w:space="0" w:color="auto"/>
            </w:tcBorders>
            <w:shd w:val="clear" w:color="auto" w:fill="auto"/>
            <w:noWrap/>
            <w:vAlign w:val="bottom"/>
            <w:hideMark/>
          </w:tcPr>
          <w:p w14:paraId="35EBEBFB" w14:textId="654129F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55%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55%</w:t>
            </w:r>
          </w:p>
        </w:tc>
        <w:tc>
          <w:tcPr>
            <w:tcW w:w="1265" w:type="dxa"/>
            <w:tcBorders>
              <w:top w:val="nil"/>
              <w:left w:val="single" w:sz="4" w:space="0" w:color="auto"/>
              <w:bottom w:val="nil"/>
              <w:right w:val="single" w:sz="4" w:space="0" w:color="auto"/>
            </w:tcBorders>
            <w:shd w:val="clear" w:color="auto" w:fill="auto"/>
            <w:noWrap/>
            <w:vAlign w:val="bottom"/>
            <w:hideMark/>
          </w:tcPr>
          <w:p w14:paraId="36C8BDE6"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20.8</w:t>
            </w:r>
          </w:p>
        </w:tc>
        <w:tc>
          <w:tcPr>
            <w:tcW w:w="1975" w:type="dxa"/>
            <w:tcBorders>
              <w:top w:val="nil"/>
              <w:left w:val="single" w:sz="4" w:space="0" w:color="auto"/>
              <w:bottom w:val="nil"/>
              <w:right w:val="single" w:sz="4" w:space="0" w:color="auto"/>
            </w:tcBorders>
            <w:shd w:val="clear" w:color="auto" w:fill="auto"/>
            <w:noWrap/>
            <w:vAlign w:val="bottom"/>
            <w:hideMark/>
          </w:tcPr>
          <w:p w14:paraId="4E29DF7E"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3.91 (1.97, 7.78)</w:t>
            </w:r>
          </w:p>
        </w:tc>
        <w:tc>
          <w:tcPr>
            <w:tcW w:w="893" w:type="dxa"/>
            <w:tcBorders>
              <w:top w:val="nil"/>
              <w:left w:val="single" w:sz="4" w:space="0" w:color="auto"/>
              <w:bottom w:val="nil"/>
              <w:right w:val="single" w:sz="4" w:space="0" w:color="auto"/>
            </w:tcBorders>
            <w:shd w:val="clear" w:color="auto" w:fill="auto"/>
            <w:noWrap/>
            <w:vAlign w:val="bottom"/>
            <w:hideMark/>
          </w:tcPr>
          <w:p w14:paraId="376FD4CB"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&lt;.0001</w:t>
            </w:r>
          </w:p>
        </w:tc>
        <w:tc>
          <w:tcPr>
            <w:tcW w:w="1890" w:type="dxa"/>
            <w:tcBorders>
              <w:top w:val="nil"/>
              <w:left w:val="single" w:sz="4" w:space="0" w:color="auto"/>
              <w:bottom w:val="nil"/>
              <w:right w:val="single" w:sz="4" w:space="0" w:color="auto"/>
            </w:tcBorders>
            <w:shd w:val="clear" w:color="auto" w:fill="auto"/>
            <w:noWrap/>
            <w:vAlign w:val="bottom"/>
            <w:hideMark/>
          </w:tcPr>
          <w:p w14:paraId="5843386D"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3.79 (1.59, 9.03)</w:t>
            </w:r>
          </w:p>
        </w:tc>
        <w:tc>
          <w:tcPr>
            <w:tcW w:w="756" w:type="dxa"/>
            <w:tcBorders>
              <w:top w:val="nil"/>
              <w:left w:val="single" w:sz="4" w:space="0" w:color="auto"/>
              <w:bottom w:val="nil"/>
              <w:right w:val="single" w:sz="4" w:space="0" w:color="auto"/>
            </w:tcBorders>
            <w:shd w:val="clear" w:color="auto" w:fill="auto"/>
            <w:noWrap/>
            <w:vAlign w:val="bottom"/>
            <w:hideMark/>
          </w:tcPr>
          <w:p w14:paraId="25D88EC8"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0.003</w:t>
            </w:r>
          </w:p>
        </w:tc>
      </w:tr>
      <w:tr w:rsidR="00370B22" w:rsidRPr="00370B22" w14:paraId="2F64ACF5" w14:textId="77777777" w:rsidTr="003D6B0A">
        <w:trPr>
          <w:trHeight w:val="72"/>
          <w:jc w:val="center"/>
        </w:trPr>
        <w:tc>
          <w:tcPr>
            <w:tcW w:w="2785" w:type="dxa"/>
            <w:tcBorders>
              <w:top w:val="nil"/>
              <w:left w:val="single" w:sz="4" w:space="0" w:color="auto"/>
              <w:bottom w:val="nil"/>
              <w:right w:val="single" w:sz="4" w:space="0" w:color="auto"/>
            </w:tcBorders>
            <w:shd w:val="clear" w:color="auto" w:fill="auto"/>
            <w:noWrap/>
            <w:vAlign w:val="bottom"/>
            <w:hideMark/>
          </w:tcPr>
          <w:p w14:paraId="5C591D18"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p>
        </w:tc>
        <w:tc>
          <w:tcPr>
            <w:tcW w:w="1265" w:type="dxa"/>
            <w:tcBorders>
              <w:top w:val="nil"/>
              <w:left w:val="single" w:sz="4" w:space="0" w:color="auto"/>
              <w:bottom w:val="nil"/>
              <w:right w:val="single" w:sz="4" w:space="0" w:color="auto"/>
            </w:tcBorders>
            <w:shd w:val="clear" w:color="auto" w:fill="auto"/>
            <w:noWrap/>
            <w:vAlign w:val="bottom"/>
            <w:hideMark/>
          </w:tcPr>
          <w:p w14:paraId="61BE14BB"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nil"/>
              <w:left w:val="single" w:sz="4" w:space="0" w:color="auto"/>
              <w:bottom w:val="nil"/>
              <w:right w:val="single" w:sz="4" w:space="0" w:color="auto"/>
            </w:tcBorders>
            <w:shd w:val="clear" w:color="auto" w:fill="auto"/>
            <w:noWrap/>
            <w:vAlign w:val="bottom"/>
            <w:hideMark/>
          </w:tcPr>
          <w:p w14:paraId="542E432B"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nil"/>
              <w:left w:val="single" w:sz="4" w:space="0" w:color="auto"/>
              <w:bottom w:val="nil"/>
              <w:right w:val="single" w:sz="4" w:space="0" w:color="auto"/>
            </w:tcBorders>
            <w:shd w:val="clear" w:color="auto" w:fill="auto"/>
            <w:noWrap/>
            <w:vAlign w:val="bottom"/>
            <w:hideMark/>
          </w:tcPr>
          <w:p w14:paraId="0DD39E6B"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nil"/>
              <w:left w:val="single" w:sz="4" w:space="0" w:color="auto"/>
              <w:bottom w:val="nil"/>
              <w:right w:val="single" w:sz="4" w:space="0" w:color="auto"/>
            </w:tcBorders>
            <w:shd w:val="clear" w:color="auto" w:fill="auto"/>
            <w:noWrap/>
            <w:vAlign w:val="bottom"/>
            <w:hideMark/>
          </w:tcPr>
          <w:p w14:paraId="0A712187"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nil"/>
              <w:left w:val="single" w:sz="4" w:space="0" w:color="auto"/>
              <w:bottom w:val="nil"/>
              <w:right w:val="single" w:sz="4" w:space="0" w:color="auto"/>
            </w:tcBorders>
            <w:shd w:val="clear" w:color="auto" w:fill="auto"/>
            <w:noWrap/>
            <w:vAlign w:val="bottom"/>
            <w:hideMark/>
          </w:tcPr>
          <w:p w14:paraId="311FE36D"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536EFCAF" w14:textId="77777777" w:rsidTr="003D6B0A">
        <w:trPr>
          <w:trHeight w:val="276"/>
          <w:jc w:val="center"/>
        </w:trPr>
        <w:tc>
          <w:tcPr>
            <w:tcW w:w="2785" w:type="dxa"/>
            <w:tcBorders>
              <w:top w:val="nil"/>
              <w:left w:val="single" w:sz="4" w:space="0" w:color="auto"/>
              <w:bottom w:val="nil"/>
              <w:right w:val="single" w:sz="4" w:space="0" w:color="auto"/>
            </w:tcBorders>
            <w:shd w:val="clear" w:color="auto" w:fill="auto"/>
            <w:noWrap/>
            <w:vAlign w:val="bottom"/>
            <w:hideMark/>
          </w:tcPr>
          <w:p w14:paraId="444BFD1C" w14:textId="15932BAE"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60%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60%</w:t>
            </w:r>
          </w:p>
        </w:tc>
        <w:tc>
          <w:tcPr>
            <w:tcW w:w="1265" w:type="dxa"/>
            <w:tcBorders>
              <w:top w:val="nil"/>
              <w:left w:val="single" w:sz="4" w:space="0" w:color="auto"/>
              <w:bottom w:val="nil"/>
              <w:right w:val="single" w:sz="4" w:space="0" w:color="auto"/>
            </w:tcBorders>
            <w:shd w:val="clear" w:color="auto" w:fill="auto"/>
            <w:noWrap/>
            <w:vAlign w:val="bottom"/>
            <w:hideMark/>
          </w:tcPr>
          <w:p w14:paraId="3239E74D"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27.4</w:t>
            </w:r>
          </w:p>
        </w:tc>
        <w:tc>
          <w:tcPr>
            <w:tcW w:w="1975" w:type="dxa"/>
            <w:tcBorders>
              <w:top w:val="nil"/>
              <w:left w:val="single" w:sz="4" w:space="0" w:color="auto"/>
              <w:bottom w:val="nil"/>
              <w:right w:val="single" w:sz="4" w:space="0" w:color="auto"/>
            </w:tcBorders>
            <w:shd w:val="clear" w:color="auto" w:fill="auto"/>
            <w:noWrap/>
            <w:vAlign w:val="bottom"/>
            <w:hideMark/>
          </w:tcPr>
          <w:p w14:paraId="726B3D6D"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2.86 (1.44, 5.69)</w:t>
            </w:r>
          </w:p>
        </w:tc>
        <w:tc>
          <w:tcPr>
            <w:tcW w:w="893" w:type="dxa"/>
            <w:tcBorders>
              <w:top w:val="nil"/>
              <w:left w:val="single" w:sz="4" w:space="0" w:color="auto"/>
              <w:bottom w:val="nil"/>
              <w:right w:val="single" w:sz="4" w:space="0" w:color="auto"/>
            </w:tcBorders>
            <w:shd w:val="clear" w:color="auto" w:fill="auto"/>
            <w:noWrap/>
            <w:vAlign w:val="bottom"/>
            <w:hideMark/>
          </w:tcPr>
          <w:p w14:paraId="1720713E"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0.003</w:t>
            </w:r>
          </w:p>
        </w:tc>
        <w:tc>
          <w:tcPr>
            <w:tcW w:w="1890" w:type="dxa"/>
            <w:tcBorders>
              <w:top w:val="nil"/>
              <w:left w:val="single" w:sz="4" w:space="0" w:color="auto"/>
              <w:bottom w:val="nil"/>
              <w:right w:val="single" w:sz="4" w:space="0" w:color="auto"/>
            </w:tcBorders>
            <w:shd w:val="clear" w:color="auto" w:fill="auto"/>
            <w:noWrap/>
            <w:vAlign w:val="bottom"/>
            <w:hideMark/>
          </w:tcPr>
          <w:p w14:paraId="52A507B4"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2.73 (1.16, 6.42)</w:t>
            </w:r>
          </w:p>
        </w:tc>
        <w:tc>
          <w:tcPr>
            <w:tcW w:w="756" w:type="dxa"/>
            <w:tcBorders>
              <w:top w:val="nil"/>
              <w:left w:val="single" w:sz="4" w:space="0" w:color="auto"/>
              <w:bottom w:val="nil"/>
              <w:right w:val="single" w:sz="4" w:space="0" w:color="auto"/>
            </w:tcBorders>
            <w:shd w:val="clear" w:color="auto" w:fill="auto"/>
            <w:noWrap/>
            <w:vAlign w:val="bottom"/>
            <w:hideMark/>
          </w:tcPr>
          <w:p w14:paraId="2025565D"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0.02</w:t>
            </w:r>
          </w:p>
        </w:tc>
      </w:tr>
      <w:tr w:rsidR="00370B22" w:rsidRPr="00370B22" w14:paraId="16758EC3" w14:textId="77777777" w:rsidTr="003D6B0A">
        <w:trPr>
          <w:trHeight w:val="60"/>
          <w:jc w:val="center"/>
        </w:trPr>
        <w:tc>
          <w:tcPr>
            <w:tcW w:w="2785" w:type="dxa"/>
            <w:tcBorders>
              <w:top w:val="nil"/>
              <w:left w:val="single" w:sz="4" w:space="0" w:color="auto"/>
              <w:bottom w:val="nil"/>
              <w:right w:val="single" w:sz="4" w:space="0" w:color="auto"/>
            </w:tcBorders>
            <w:shd w:val="clear" w:color="auto" w:fill="auto"/>
            <w:noWrap/>
            <w:vAlign w:val="bottom"/>
            <w:hideMark/>
          </w:tcPr>
          <w:p w14:paraId="63E0A9AD"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p>
        </w:tc>
        <w:tc>
          <w:tcPr>
            <w:tcW w:w="1265" w:type="dxa"/>
            <w:tcBorders>
              <w:top w:val="nil"/>
              <w:left w:val="single" w:sz="4" w:space="0" w:color="auto"/>
              <w:bottom w:val="nil"/>
              <w:right w:val="single" w:sz="4" w:space="0" w:color="auto"/>
            </w:tcBorders>
            <w:shd w:val="clear" w:color="auto" w:fill="auto"/>
            <w:noWrap/>
            <w:vAlign w:val="bottom"/>
            <w:hideMark/>
          </w:tcPr>
          <w:p w14:paraId="3CDA4576"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nil"/>
              <w:left w:val="single" w:sz="4" w:space="0" w:color="auto"/>
              <w:bottom w:val="nil"/>
              <w:right w:val="single" w:sz="4" w:space="0" w:color="auto"/>
            </w:tcBorders>
            <w:shd w:val="clear" w:color="auto" w:fill="auto"/>
            <w:noWrap/>
            <w:vAlign w:val="bottom"/>
            <w:hideMark/>
          </w:tcPr>
          <w:p w14:paraId="1CA7A420"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nil"/>
              <w:left w:val="single" w:sz="4" w:space="0" w:color="auto"/>
              <w:bottom w:val="nil"/>
              <w:right w:val="single" w:sz="4" w:space="0" w:color="auto"/>
            </w:tcBorders>
            <w:shd w:val="clear" w:color="auto" w:fill="auto"/>
            <w:noWrap/>
            <w:vAlign w:val="bottom"/>
            <w:hideMark/>
          </w:tcPr>
          <w:p w14:paraId="66501473"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nil"/>
              <w:left w:val="single" w:sz="4" w:space="0" w:color="auto"/>
              <w:bottom w:val="nil"/>
              <w:right w:val="single" w:sz="4" w:space="0" w:color="auto"/>
            </w:tcBorders>
            <w:shd w:val="clear" w:color="auto" w:fill="auto"/>
            <w:noWrap/>
            <w:vAlign w:val="bottom"/>
            <w:hideMark/>
          </w:tcPr>
          <w:p w14:paraId="292D5BCA"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nil"/>
              <w:left w:val="single" w:sz="4" w:space="0" w:color="auto"/>
              <w:bottom w:val="nil"/>
              <w:right w:val="single" w:sz="4" w:space="0" w:color="auto"/>
            </w:tcBorders>
            <w:shd w:val="clear" w:color="auto" w:fill="auto"/>
            <w:noWrap/>
            <w:vAlign w:val="bottom"/>
            <w:hideMark/>
          </w:tcPr>
          <w:p w14:paraId="4C273052"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04ABF07C" w14:textId="77777777" w:rsidTr="003D6B0A">
        <w:trPr>
          <w:trHeight w:val="276"/>
          <w:jc w:val="center"/>
        </w:trPr>
        <w:tc>
          <w:tcPr>
            <w:tcW w:w="2785" w:type="dxa"/>
            <w:tcBorders>
              <w:top w:val="nil"/>
              <w:left w:val="single" w:sz="4" w:space="0" w:color="auto"/>
              <w:bottom w:val="nil"/>
              <w:right w:val="single" w:sz="4" w:space="0" w:color="auto"/>
            </w:tcBorders>
            <w:shd w:val="clear" w:color="auto" w:fill="auto"/>
            <w:noWrap/>
            <w:vAlign w:val="bottom"/>
            <w:hideMark/>
          </w:tcPr>
          <w:p w14:paraId="36F28191" w14:textId="66AA9A12"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65%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65%</w:t>
            </w:r>
          </w:p>
        </w:tc>
        <w:tc>
          <w:tcPr>
            <w:tcW w:w="1265" w:type="dxa"/>
            <w:tcBorders>
              <w:top w:val="nil"/>
              <w:left w:val="single" w:sz="4" w:space="0" w:color="auto"/>
              <w:bottom w:val="nil"/>
              <w:right w:val="single" w:sz="4" w:space="0" w:color="auto"/>
            </w:tcBorders>
            <w:shd w:val="clear" w:color="auto" w:fill="auto"/>
            <w:noWrap/>
            <w:vAlign w:val="bottom"/>
            <w:hideMark/>
          </w:tcPr>
          <w:p w14:paraId="10617065"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31.6</w:t>
            </w:r>
          </w:p>
        </w:tc>
        <w:tc>
          <w:tcPr>
            <w:tcW w:w="1975" w:type="dxa"/>
            <w:tcBorders>
              <w:top w:val="nil"/>
              <w:left w:val="single" w:sz="4" w:space="0" w:color="auto"/>
              <w:bottom w:val="nil"/>
              <w:right w:val="single" w:sz="4" w:space="0" w:color="auto"/>
            </w:tcBorders>
            <w:shd w:val="clear" w:color="auto" w:fill="auto"/>
            <w:noWrap/>
            <w:vAlign w:val="bottom"/>
            <w:hideMark/>
          </w:tcPr>
          <w:p w14:paraId="05218892"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2.39 (1.20, 4.76)</w:t>
            </w:r>
          </w:p>
        </w:tc>
        <w:tc>
          <w:tcPr>
            <w:tcW w:w="893" w:type="dxa"/>
            <w:tcBorders>
              <w:top w:val="nil"/>
              <w:left w:val="single" w:sz="4" w:space="0" w:color="auto"/>
              <w:bottom w:val="nil"/>
              <w:right w:val="single" w:sz="4" w:space="0" w:color="auto"/>
            </w:tcBorders>
            <w:shd w:val="clear" w:color="auto" w:fill="auto"/>
            <w:noWrap/>
            <w:vAlign w:val="bottom"/>
            <w:hideMark/>
          </w:tcPr>
          <w:p w14:paraId="7280ED27"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0.01</w:t>
            </w:r>
          </w:p>
        </w:tc>
        <w:tc>
          <w:tcPr>
            <w:tcW w:w="1890" w:type="dxa"/>
            <w:tcBorders>
              <w:top w:val="nil"/>
              <w:left w:val="single" w:sz="4" w:space="0" w:color="auto"/>
              <w:bottom w:val="nil"/>
              <w:right w:val="single" w:sz="4" w:space="0" w:color="auto"/>
            </w:tcBorders>
            <w:shd w:val="clear" w:color="auto" w:fill="auto"/>
            <w:noWrap/>
            <w:vAlign w:val="bottom"/>
            <w:hideMark/>
          </w:tcPr>
          <w:p w14:paraId="5716E023"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2.18 (0.93, 5.11)</w:t>
            </w:r>
          </w:p>
        </w:tc>
        <w:tc>
          <w:tcPr>
            <w:tcW w:w="756" w:type="dxa"/>
            <w:tcBorders>
              <w:top w:val="nil"/>
              <w:left w:val="single" w:sz="4" w:space="0" w:color="auto"/>
              <w:bottom w:val="nil"/>
              <w:right w:val="single" w:sz="4" w:space="0" w:color="auto"/>
            </w:tcBorders>
            <w:shd w:val="clear" w:color="auto" w:fill="auto"/>
            <w:noWrap/>
            <w:vAlign w:val="bottom"/>
            <w:hideMark/>
          </w:tcPr>
          <w:p w14:paraId="23A17901"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r w:rsidRPr="00355AB0">
              <w:rPr>
                <w:rFonts w:ascii="Times New Roman" w:eastAsia="Times New Roman" w:hAnsi="Times New Roman" w:cs="Times New Roman"/>
                <w:bCs/>
                <w:color w:val="000000"/>
                <w:sz w:val="24"/>
                <w:szCs w:val="24"/>
              </w:rPr>
              <w:t>0.07</w:t>
            </w:r>
          </w:p>
        </w:tc>
      </w:tr>
      <w:tr w:rsidR="00370B22" w:rsidRPr="00370B22" w14:paraId="41DAC884" w14:textId="77777777" w:rsidTr="003D6B0A">
        <w:trPr>
          <w:trHeight w:val="72"/>
          <w:jc w:val="center"/>
        </w:trPr>
        <w:tc>
          <w:tcPr>
            <w:tcW w:w="2785" w:type="dxa"/>
            <w:tcBorders>
              <w:top w:val="nil"/>
              <w:left w:val="single" w:sz="4" w:space="0" w:color="auto"/>
              <w:bottom w:val="nil"/>
              <w:right w:val="single" w:sz="4" w:space="0" w:color="auto"/>
            </w:tcBorders>
            <w:shd w:val="clear" w:color="auto" w:fill="auto"/>
            <w:noWrap/>
            <w:vAlign w:val="bottom"/>
            <w:hideMark/>
          </w:tcPr>
          <w:p w14:paraId="533585B6" w14:textId="77777777" w:rsidR="00370B22" w:rsidRPr="00355AB0" w:rsidRDefault="00370B22" w:rsidP="00C8288A">
            <w:pPr>
              <w:spacing w:after="0" w:line="240" w:lineRule="auto"/>
              <w:jc w:val="center"/>
              <w:rPr>
                <w:rFonts w:ascii="Times New Roman" w:eastAsia="Times New Roman" w:hAnsi="Times New Roman" w:cs="Times New Roman"/>
                <w:bCs/>
                <w:color w:val="000000"/>
                <w:sz w:val="24"/>
                <w:szCs w:val="24"/>
              </w:rPr>
            </w:pPr>
          </w:p>
        </w:tc>
        <w:tc>
          <w:tcPr>
            <w:tcW w:w="1265" w:type="dxa"/>
            <w:tcBorders>
              <w:top w:val="nil"/>
              <w:left w:val="single" w:sz="4" w:space="0" w:color="auto"/>
              <w:bottom w:val="nil"/>
              <w:right w:val="single" w:sz="4" w:space="0" w:color="auto"/>
            </w:tcBorders>
            <w:shd w:val="clear" w:color="auto" w:fill="auto"/>
            <w:noWrap/>
            <w:vAlign w:val="bottom"/>
            <w:hideMark/>
          </w:tcPr>
          <w:p w14:paraId="47576797"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nil"/>
              <w:left w:val="single" w:sz="4" w:space="0" w:color="auto"/>
              <w:bottom w:val="nil"/>
              <w:right w:val="single" w:sz="4" w:space="0" w:color="auto"/>
            </w:tcBorders>
            <w:shd w:val="clear" w:color="auto" w:fill="auto"/>
            <w:noWrap/>
            <w:vAlign w:val="bottom"/>
            <w:hideMark/>
          </w:tcPr>
          <w:p w14:paraId="7F2DE8D7"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nil"/>
              <w:left w:val="single" w:sz="4" w:space="0" w:color="auto"/>
              <w:bottom w:val="nil"/>
              <w:right w:val="single" w:sz="4" w:space="0" w:color="auto"/>
            </w:tcBorders>
            <w:shd w:val="clear" w:color="auto" w:fill="auto"/>
            <w:noWrap/>
            <w:vAlign w:val="bottom"/>
            <w:hideMark/>
          </w:tcPr>
          <w:p w14:paraId="1F4A69E8"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nil"/>
              <w:left w:val="single" w:sz="4" w:space="0" w:color="auto"/>
              <w:bottom w:val="nil"/>
              <w:right w:val="single" w:sz="4" w:space="0" w:color="auto"/>
            </w:tcBorders>
            <w:shd w:val="clear" w:color="auto" w:fill="auto"/>
            <w:noWrap/>
            <w:vAlign w:val="bottom"/>
            <w:hideMark/>
          </w:tcPr>
          <w:p w14:paraId="04CDAF0B"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nil"/>
              <w:left w:val="single" w:sz="4" w:space="0" w:color="auto"/>
              <w:bottom w:val="nil"/>
              <w:right w:val="single" w:sz="4" w:space="0" w:color="auto"/>
            </w:tcBorders>
            <w:shd w:val="clear" w:color="auto" w:fill="auto"/>
            <w:noWrap/>
            <w:vAlign w:val="bottom"/>
            <w:hideMark/>
          </w:tcPr>
          <w:p w14:paraId="61C0F097"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4187E26D" w14:textId="77777777" w:rsidTr="003D6B0A">
        <w:trPr>
          <w:trHeight w:val="276"/>
          <w:jc w:val="center"/>
        </w:trPr>
        <w:tc>
          <w:tcPr>
            <w:tcW w:w="2785" w:type="dxa"/>
            <w:tcBorders>
              <w:top w:val="nil"/>
              <w:left w:val="single" w:sz="4" w:space="0" w:color="auto"/>
              <w:bottom w:val="nil"/>
              <w:right w:val="single" w:sz="4" w:space="0" w:color="auto"/>
            </w:tcBorders>
            <w:shd w:val="clear" w:color="auto" w:fill="auto"/>
            <w:noWrap/>
            <w:vAlign w:val="bottom"/>
            <w:hideMark/>
          </w:tcPr>
          <w:p w14:paraId="014B4CDE" w14:textId="3958656C"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70%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70%</w:t>
            </w:r>
          </w:p>
        </w:tc>
        <w:tc>
          <w:tcPr>
            <w:tcW w:w="1265" w:type="dxa"/>
            <w:tcBorders>
              <w:top w:val="nil"/>
              <w:left w:val="single" w:sz="4" w:space="0" w:color="auto"/>
              <w:bottom w:val="nil"/>
              <w:right w:val="single" w:sz="4" w:space="0" w:color="auto"/>
            </w:tcBorders>
            <w:shd w:val="clear" w:color="auto" w:fill="auto"/>
            <w:noWrap/>
            <w:vAlign w:val="bottom"/>
            <w:hideMark/>
          </w:tcPr>
          <w:p w14:paraId="40D09D1E"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39.9</w:t>
            </w:r>
          </w:p>
        </w:tc>
        <w:tc>
          <w:tcPr>
            <w:tcW w:w="1975" w:type="dxa"/>
            <w:tcBorders>
              <w:top w:val="nil"/>
              <w:left w:val="single" w:sz="4" w:space="0" w:color="auto"/>
              <w:bottom w:val="nil"/>
              <w:right w:val="single" w:sz="4" w:space="0" w:color="auto"/>
            </w:tcBorders>
            <w:shd w:val="clear" w:color="auto" w:fill="auto"/>
            <w:noWrap/>
            <w:vAlign w:val="bottom"/>
            <w:hideMark/>
          </w:tcPr>
          <w:p w14:paraId="1E2851C8"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1.57 (0.79, 3.11)</w:t>
            </w:r>
          </w:p>
        </w:tc>
        <w:tc>
          <w:tcPr>
            <w:tcW w:w="893" w:type="dxa"/>
            <w:tcBorders>
              <w:top w:val="nil"/>
              <w:left w:val="single" w:sz="4" w:space="0" w:color="auto"/>
              <w:bottom w:val="nil"/>
              <w:right w:val="single" w:sz="4" w:space="0" w:color="auto"/>
            </w:tcBorders>
            <w:shd w:val="clear" w:color="auto" w:fill="auto"/>
            <w:noWrap/>
            <w:vAlign w:val="bottom"/>
            <w:hideMark/>
          </w:tcPr>
          <w:p w14:paraId="0BD62859"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0.2</w:t>
            </w:r>
          </w:p>
        </w:tc>
        <w:tc>
          <w:tcPr>
            <w:tcW w:w="1890" w:type="dxa"/>
            <w:tcBorders>
              <w:top w:val="nil"/>
              <w:left w:val="single" w:sz="4" w:space="0" w:color="auto"/>
              <w:bottom w:val="nil"/>
              <w:right w:val="single" w:sz="4" w:space="0" w:color="auto"/>
            </w:tcBorders>
            <w:shd w:val="clear" w:color="auto" w:fill="auto"/>
            <w:noWrap/>
            <w:vAlign w:val="bottom"/>
            <w:hideMark/>
          </w:tcPr>
          <w:p w14:paraId="31D684C5"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1.29 (0.55, 3.03)</w:t>
            </w:r>
          </w:p>
        </w:tc>
        <w:tc>
          <w:tcPr>
            <w:tcW w:w="756" w:type="dxa"/>
            <w:tcBorders>
              <w:top w:val="nil"/>
              <w:left w:val="single" w:sz="4" w:space="0" w:color="auto"/>
              <w:bottom w:val="nil"/>
              <w:right w:val="single" w:sz="4" w:space="0" w:color="auto"/>
            </w:tcBorders>
            <w:shd w:val="clear" w:color="auto" w:fill="auto"/>
            <w:noWrap/>
            <w:vAlign w:val="bottom"/>
            <w:hideMark/>
          </w:tcPr>
          <w:p w14:paraId="0DB05A61"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0.56</w:t>
            </w:r>
          </w:p>
        </w:tc>
      </w:tr>
      <w:tr w:rsidR="00370B22" w:rsidRPr="00370B22" w14:paraId="413C33C5" w14:textId="77777777" w:rsidTr="003D6B0A">
        <w:trPr>
          <w:trHeight w:val="48"/>
          <w:jc w:val="center"/>
        </w:trPr>
        <w:tc>
          <w:tcPr>
            <w:tcW w:w="2785" w:type="dxa"/>
            <w:tcBorders>
              <w:top w:val="nil"/>
              <w:left w:val="single" w:sz="4" w:space="0" w:color="auto"/>
              <w:bottom w:val="nil"/>
              <w:right w:val="single" w:sz="4" w:space="0" w:color="auto"/>
            </w:tcBorders>
            <w:shd w:val="clear" w:color="auto" w:fill="auto"/>
            <w:noWrap/>
            <w:vAlign w:val="bottom"/>
            <w:hideMark/>
          </w:tcPr>
          <w:p w14:paraId="1506495D"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p>
        </w:tc>
        <w:tc>
          <w:tcPr>
            <w:tcW w:w="1265" w:type="dxa"/>
            <w:tcBorders>
              <w:top w:val="nil"/>
              <w:left w:val="single" w:sz="4" w:space="0" w:color="auto"/>
              <w:bottom w:val="nil"/>
              <w:right w:val="single" w:sz="4" w:space="0" w:color="auto"/>
            </w:tcBorders>
            <w:shd w:val="clear" w:color="auto" w:fill="auto"/>
            <w:noWrap/>
            <w:vAlign w:val="bottom"/>
            <w:hideMark/>
          </w:tcPr>
          <w:p w14:paraId="2D393F7D"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nil"/>
              <w:left w:val="single" w:sz="4" w:space="0" w:color="auto"/>
              <w:bottom w:val="nil"/>
              <w:right w:val="single" w:sz="4" w:space="0" w:color="auto"/>
            </w:tcBorders>
            <w:shd w:val="clear" w:color="auto" w:fill="auto"/>
            <w:noWrap/>
            <w:vAlign w:val="bottom"/>
            <w:hideMark/>
          </w:tcPr>
          <w:p w14:paraId="08457BED"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nil"/>
              <w:left w:val="single" w:sz="4" w:space="0" w:color="auto"/>
              <w:bottom w:val="nil"/>
              <w:right w:val="single" w:sz="4" w:space="0" w:color="auto"/>
            </w:tcBorders>
            <w:shd w:val="clear" w:color="auto" w:fill="auto"/>
            <w:noWrap/>
            <w:vAlign w:val="bottom"/>
            <w:hideMark/>
          </w:tcPr>
          <w:p w14:paraId="6CAFDA95"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nil"/>
              <w:left w:val="single" w:sz="4" w:space="0" w:color="auto"/>
              <w:bottom w:val="nil"/>
              <w:right w:val="single" w:sz="4" w:space="0" w:color="auto"/>
            </w:tcBorders>
            <w:shd w:val="clear" w:color="auto" w:fill="auto"/>
            <w:noWrap/>
            <w:vAlign w:val="bottom"/>
            <w:hideMark/>
          </w:tcPr>
          <w:p w14:paraId="31617BC4"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nil"/>
              <w:left w:val="single" w:sz="4" w:space="0" w:color="auto"/>
              <w:bottom w:val="nil"/>
              <w:right w:val="single" w:sz="4" w:space="0" w:color="auto"/>
            </w:tcBorders>
            <w:shd w:val="clear" w:color="auto" w:fill="auto"/>
            <w:noWrap/>
            <w:vAlign w:val="bottom"/>
            <w:hideMark/>
          </w:tcPr>
          <w:p w14:paraId="03D5EEF1"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18DCE0F3" w14:textId="77777777" w:rsidTr="003D6B0A">
        <w:trPr>
          <w:trHeight w:val="276"/>
          <w:jc w:val="center"/>
        </w:trPr>
        <w:tc>
          <w:tcPr>
            <w:tcW w:w="2785" w:type="dxa"/>
            <w:tcBorders>
              <w:top w:val="nil"/>
              <w:left w:val="single" w:sz="4" w:space="0" w:color="auto"/>
              <w:bottom w:val="nil"/>
              <w:right w:val="single" w:sz="4" w:space="0" w:color="auto"/>
            </w:tcBorders>
            <w:shd w:val="clear" w:color="auto" w:fill="auto"/>
            <w:noWrap/>
            <w:vAlign w:val="bottom"/>
            <w:hideMark/>
          </w:tcPr>
          <w:p w14:paraId="3D9AEA74" w14:textId="657798C4"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75%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75%</w:t>
            </w:r>
          </w:p>
        </w:tc>
        <w:tc>
          <w:tcPr>
            <w:tcW w:w="1265" w:type="dxa"/>
            <w:tcBorders>
              <w:top w:val="nil"/>
              <w:left w:val="single" w:sz="4" w:space="0" w:color="auto"/>
              <w:bottom w:val="nil"/>
              <w:right w:val="single" w:sz="4" w:space="0" w:color="auto"/>
            </w:tcBorders>
            <w:shd w:val="clear" w:color="auto" w:fill="auto"/>
            <w:noWrap/>
            <w:vAlign w:val="bottom"/>
            <w:hideMark/>
          </w:tcPr>
          <w:p w14:paraId="7B212E77"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47.6</w:t>
            </w:r>
          </w:p>
        </w:tc>
        <w:tc>
          <w:tcPr>
            <w:tcW w:w="1975" w:type="dxa"/>
            <w:tcBorders>
              <w:top w:val="nil"/>
              <w:left w:val="single" w:sz="4" w:space="0" w:color="auto"/>
              <w:bottom w:val="nil"/>
              <w:right w:val="single" w:sz="4" w:space="0" w:color="auto"/>
            </w:tcBorders>
            <w:shd w:val="clear" w:color="auto" w:fill="auto"/>
            <w:noWrap/>
            <w:vAlign w:val="bottom"/>
            <w:hideMark/>
          </w:tcPr>
          <w:p w14:paraId="430092A0"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1.78 (0.88, 3.58)</w:t>
            </w:r>
          </w:p>
        </w:tc>
        <w:tc>
          <w:tcPr>
            <w:tcW w:w="893" w:type="dxa"/>
            <w:tcBorders>
              <w:top w:val="nil"/>
              <w:left w:val="single" w:sz="4" w:space="0" w:color="auto"/>
              <w:bottom w:val="nil"/>
              <w:right w:val="single" w:sz="4" w:space="0" w:color="auto"/>
            </w:tcBorders>
            <w:shd w:val="clear" w:color="auto" w:fill="auto"/>
            <w:noWrap/>
            <w:vAlign w:val="bottom"/>
            <w:hideMark/>
          </w:tcPr>
          <w:p w14:paraId="0805E6A9"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0.11</w:t>
            </w:r>
          </w:p>
        </w:tc>
        <w:tc>
          <w:tcPr>
            <w:tcW w:w="1890" w:type="dxa"/>
            <w:tcBorders>
              <w:top w:val="nil"/>
              <w:left w:val="single" w:sz="4" w:space="0" w:color="auto"/>
              <w:bottom w:val="nil"/>
              <w:right w:val="single" w:sz="4" w:space="0" w:color="auto"/>
            </w:tcBorders>
            <w:shd w:val="clear" w:color="auto" w:fill="auto"/>
            <w:noWrap/>
            <w:vAlign w:val="bottom"/>
            <w:hideMark/>
          </w:tcPr>
          <w:p w14:paraId="656E8F66"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1.51 (0.65, 3.53)</w:t>
            </w:r>
          </w:p>
        </w:tc>
        <w:tc>
          <w:tcPr>
            <w:tcW w:w="756" w:type="dxa"/>
            <w:tcBorders>
              <w:top w:val="nil"/>
              <w:left w:val="single" w:sz="4" w:space="0" w:color="auto"/>
              <w:bottom w:val="nil"/>
              <w:right w:val="single" w:sz="4" w:space="0" w:color="auto"/>
            </w:tcBorders>
            <w:shd w:val="clear" w:color="auto" w:fill="auto"/>
            <w:noWrap/>
            <w:vAlign w:val="bottom"/>
            <w:hideMark/>
          </w:tcPr>
          <w:p w14:paraId="5D802A1F"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0.34</w:t>
            </w:r>
          </w:p>
        </w:tc>
      </w:tr>
      <w:tr w:rsidR="00370B22" w:rsidRPr="00370B22" w14:paraId="68371DCC" w14:textId="77777777" w:rsidTr="003D6B0A">
        <w:trPr>
          <w:trHeight w:val="60"/>
          <w:jc w:val="center"/>
        </w:trPr>
        <w:tc>
          <w:tcPr>
            <w:tcW w:w="2785" w:type="dxa"/>
            <w:tcBorders>
              <w:top w:val="nil"/>
              <w:left w:val="single" w:sz="4" w:space="0" w:color="auto"/>
              <w:bottom w:val="nil"/>
              <w:right w:val="single" w:sz="4" w:space="0" w:color="auto"/>
            </w:tcBorders>
            <w:shd w:val="clear" w:color="auto" w:fill="auto"/>
            <w:noWrap/>
            <w:vAlign w:val="bottom"/>
            <w:hideMark/>
          </w:tcPr>
          <w:p w14:paraId="6CAE7D27"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p>
        </w:tc>
        <w:tc>
          <w:tcPr>
            <w:tcW w:w="1265" w:type="dxa"/>
            <w:tcBorders>
              <w:top w:val="nil"/>
              <w:left w:val="single" w:sz="4" w:space="0" w:color="auto"/>
              <w:bottom w:val="nil"/>
              <w:right w:val="single" w:sz="4" w:space="0" w:color="auto"/>
            </w:tcBorders>
            <w:shd w:val="clear" w:color="auto" w:fill="auto"/>
            <w:noWrap/>
            <w:vAlign w:val="bottom"/>
            <w:hideMark/>
          </w:tcPr>
          <w:p w14:paraId="7D0427D1"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975" w:type="dxa"/>
            <w:tcBorders>
              <w:top w:val="nil"/>
              <w:left w:val="single" w:sz="4" w:space="0" w:color="auto"/>
              <w:bottom w:val="nil"/>
              <w:right w:val="single" w:sz="4" w:space="0" w:color="auto"/>
            </w:tcBorders>
            <w:shd w:val="clear" w:color="auto" w:fill="auto"/>
            <w:noWrap/>
            <w:vAlign w:val="bottom"/>
            <w:hideMark/>
          </w:tcPr>
          <w:p w14:paraId="23787770"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893" w:type="dxa"/>
            <w:tcBorders>
              <w:top w:val="nil"/>
              <w:left w:val="single" w:sz="4" w:space="0" w:color="auto"/>
              <w:bottom w:val="nil"/>
              <w:right w:val="single" w:sz="4" w:space="0" w:color="auto"/>
            </w:tcBorders>
            <w:shd w:val="clear" w:color="auto" w:fill="auto"/>
            <w:noWrap/>
            <w:vAlign w:val="bottom"/>
            <w:hideMark/>
          </w:tcPr>
          <w:p w14:paraId="5F8AB690"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1890" w:type="dxa"/>
            <w:tcBorders>
              <w:top w:val="nil"/>
              <w:left w:val="single" w:sz="4" w:space="0" w:color="auto"/>
              <w:bottom w:val="nil"/>
              <w:right w:val="single" w:sz="4" w:space="0" w:color="auto"/>
            </w:tcBorders>
            <w:shd w:val="clear" w:color="auto" w:fill="auto"/>
            <w:noWrap/>
            <w:vAlign w:val="bottom"/>
            <w:hideMark/>
          </w:tcPr>
          <w:p w14:paraId="678A98F6"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c>
          <w:tcPr>
            <w:tcW w:w="756" w:type="dxa"/>
            <w:tcBorders>
              <w:top w:val="nil"/>
              <w:left w:val="single" w:sz="4" w:space="0" w:color="auto"/>
              <w:bottom w:val="nil"/>
              <w:right w:val="single" w:sz="4" w:space="0" w:color="auto"/>
            </w:tcBorders>
            <w:shd w:val="clear" w:color="auto" w:fill="auto"/>
            <w:noWrap/>
            <w:vAlign w:val="bottom"/>
            <w:hideMark/>
          </w:tcPr>
          <w:p w14:paraId="4B1B0FBA" w14:textId="77777777" w:rsidR="00370B22" w:rsidRPr="00355AB0"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45BD60E2" w14:textId="77777777" w:rsidTr="003D6B0A">
        <w:trPr>
          <w:trHeight w:val="276"/>
          <w:jc w:val="center"/>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14:paraId="257F0309" w14:textId="1E4F69C5"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RDI&lt; 80% vs. RDI</w:t>
            </w:r>
            <w:r w:rsidR="002D06F1">
              <w:rPr>
                <w:rFonts w:ascii="Times New Roman" w:eastAsia="Times New Roman" w:hAnsi="Times New Roman" w:cs="Times New Roman"/>
                <w:color w:val="000000"/>
                <w:sz w:val="24"/>
                <w:szCs w:val="24"/>
              </w:rPr>
              <w:t>≥</w:t>
            </w:r>
            <w:r w:rsidRPr="00355AB0">
              <w:rPr>
                <w:rFonts w:ascii="Times New Roman" w:eastAsia="Times New Roman" w:hAnsi="Times New Roman" w:cs="Times New Roman"/>
                <w:color w:val="000000"/>
                <w:sz w:val="24"/>
                <w:szCs w:val="24"/>
              </w:rPr>
              <w:t xml:space="preserve"> 80%</w:t>
            </w:r>
          </w:p>
        </w:tc>
        <w:tc>
          <w:tcPr>
            <w:tcW w:w="1265" w:type="dxa"/>
            <w:tcBorders>
              <w:top w:val="nil"/>
              <w:left w:val="single" w:sz="4" w:space="0" w:color="auto"/>
              <w:bottom w:val="single" w:sz="4" w:space="0" w:color="auto"/>
              <w:right w:val="single" w:sz="4" w:space="0" w:color="auto"/>
            </w:tcBorders>
            <w:shd w:val="clear" w:color="auto" w:fill="auto"/>
            <w:noWrap/>
            <w:vAlign w:val="bottom"/>
            <w:hideMark/>
          </w:tcPr>
          <w:p w14:paraId="14A447A4"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58.9</w:t>
            </w:r>
          </w:p>
        </w:tc>
        <w:tc>
          <w:tcPr>
            <w:tcW w:w="1975" w:type="dxa"/>
            <w:tcBorders>
              <w:top w:val="nil"/>
              <w:left w:val="single" w:sz="4" w:space="0" w:color="auto"/>
              <w:bottom w:val="single" w:sz="4" w:space="0" w:color="auto"/>
              <w:right w:val="single" w:sz="4" w:space="0" w:color="auto"/>
            </w:tcBorders>
            <w:shd w:val="clear" w:color="auto" w:fill="auto"/>
            <w:noWrap/>
            <w:vAlign w:val="bottom"/>
            <w:hideMark/>
          </w:tcPr>
          <w:p w14:paraId="7D5D0A1C"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1.37 (0.66, 2.82)</w:t>
            </w:r>
          </w:p>
        </w:tc>
        <w:tc>
          <w:tcPr>
            <w:tcW w:w="893" w:type="dxa"/>
            <w:tcBorders>
              <w:top w:val="nil"/>
              <w:left w:val="single" w:sz="4" w:space="0" w:color="auto"/>
              <w:bottom w:val="single" w:sz="4" w:space="0" w:color="auto"/>
              <w:right w:val="single" w:sz="4" w:space="0" w:color="auto"/>
            </w:tcBorders>
            <w:shd w:val="clear" w:color="auto" w:fill="auto"/>
            <w:noWrap/>
            <w:vAlign w:val="bottom"/>
            <w:hideMark/>
          </w:tcPr>
          <w:p w14:paraId="7559C277"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0.4</w:t>
            </w:r>
          </w:p>
        </w:tc>
        <w:tc>
          <w:tcPr>
            <w:tcW w:w="1890" w:type="dxa"/>
            <w:tcBorders>
              <w:top w:val="nil"/>
              <w:left w:val="single" w:sz="4" w:space="0" w:color="auto"/>
              <w:bottom w:val="single" w:sz="4" w:space="0" w:color="auto"/>
              <w:right w:val="single" w:sz="4" w:space="0" w:color="auto"/>
            </w:tcBorders>
            <w:shd w:val="clear" w:color="auto" w:fill="auto"/>
            <w:noWrap/>
            <w:vAlign w:val="bottom"/>
            <w:hideMark/>
          </w:tcPr>
          <w:p w14:paraId="0F863776" w14:textId="77777777" w:rsidR="00370B22" w:rsidRPr="00355AB0" w:rsidRDefault="00370B22" w:rsidP="00C8288A">
            <w:pPr>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1.26 (0.52, 3.06)</w:t>
            </w:r>
          </w:p>
        </w:tc>
        <w:tc>
          <w:tcPr>
            <w:tcW w:w="756" w:type="dxa"/>
            <w:tcBorders>
              <w:top w:val="nil"/>
              <w:left w:val="single" w:sz="4" w:space="0" w:color="auto"/>
              <w:bottom w:val="single" w:sz="4" w:space="0" w:color="auto"/>
              <w:right w:val="single" w:sz="4" w:space="0" w:color="auto"/>
            </w:tcBorders>
            <w:shd w:val="clear" w:color="auto" w:fill="auto"/>
            <w:noWrap/>
            <w:vAlign w:val="bottom"/>
            <w:hideMark/>
          </w:tcPr>
          <w:p w14:paraId="2B0A5075" w14:textId="77777777" w:rsidR="00370B22" w:rsidRPr="00355AB0" w:rsidRDefault="00370B22" w:rsidP="00C8288A">
            <w:pPr>
              <w:keepNext/>
              <w:spacing w:after="0" w:line="240" w:lineRule="auto"/>
              <w:jc w:val="center"/>
              <w:rPr>
                <w:rFonts w:ascii="Times New Roman" w:eastAsia="Times New Roman" w:hAnsi="Times New Roman" w:cs="Times New Roman"/>
                <w:color w:val="000000"/>
                <w:sz w:val="24"/>
                <w:szCs w:val="24"/>
              </w:rPr>
            </w:pPr>
            <w:r w:rsidRPr="00355AB0">
              <w:rPr>
                <w:rFonts w:ascii="Times New Roman" w:eastAsia="Times New Roman" w:hAnsi="Times New Roman" w:cs="Times New Roman"/>
                <w:color w:val="000000"/>
                <w:sz w:val="24"/>
                <w:szCs w:val="24"/>
              </w:rPr>
              <w:t>0.62</w:t>
            </w:r>
          </w:p>
        </w:tc>
      </w:tr>
    </w:tbl>
    <w:p w14:paraId="0D3AA9C7" w14:textId="77777777" w:rsidR="00C0370A" w:rsidRDefault="00C0370A" w:rsidP="00370B22">
      <w:pPr>
        <w:pStyle w:val="Caption"/>
        <w:spacing w:after="0"/>
        <w:jc w:val="center"/>
        <w:rPr>
          <w:rFonts w:ascii="Times New Roman" w:hAnsi="Times New Roman" w:cs="Times New Roman"/>
          <w:sz w:val="24"/>
          <w:szCs w:val="24"/>
        </w:rPr>
      </w:pPr>
    </w:p>
    <w:p w14:paraId="1E8FEB72" w14:textId="77777777" w:rsidR="00C0370A" w:rsidRDefault="00C0370A" w:rsidP="00370B22">
      <w:pPr>
        <w:pStyle w:val="Caption"/>
        <w:spacing w:after="0"/>
        <w:jc w:val="center"/>
        <w:rPr>
          <w:rFonts w:ascii="Times New Roman" w:hAnsi="Times New Roman" w:cs="Times New Roman"/>
          <w:sz w:val="24"/>
          <w:szCs w:val="24"/>
        </w:rPr>
      </w:pPr>
    </w:p>
    <w:p w14:paraId="12483814" w14:textId="77777777" w:rsidR="00370B22" w:rsidRPr="00370B22" w:rsidRDefault="00C0370A" w:rsidP="00C0370A">
      <w:pPr>
        <w:pStyle w:val="Caption"/>
        <w:spacing w:after="0"/>
        <w:rPr>
          <w:rFonts w:ascii="Times New Roman" w:eastAsia="Times New Roman" w:hAnsi="Times New Roman" w:cs="Times New Roman"/>
          <w:color w:val="000000"/>
          <w:sz w:val="24"/>
          <w:szCs w:val="24"/>
        </w:rPr>
      </w:pPr>
      <w:r w:rsidRPr="00C0370A">
        <w:rPr>
          <w:rFonts w:ascii="Times New Roman" w:hAnsi="Times New Roman" w:cs="Times New Roman"/>
          <w:b/>
          <w:sz w:val="24"/>
          <w:szCs w:val="24"/>
        </w:rPr>
        <w:t xml:space="preserve">Supplemental Material </w:t>
      </w:r>
      <w:r w:rsidR="003D6B0A">
        <w:rPr>
          <w:rFonts w:ascii="Times New Roman" w:hAnsi="Times New Roman" w:cs="Times New Roman"/>
          <w:b/>
          <w:sz w:val="24"/>
          <w:szCs w:val="24"/>
        </w:rPr>
        <w:t>4</w:t>
      </w:r>
      <w:r w:rsidRPr="00C0370A">
        <w:rPr>
          <w:rFonts w:ascii="Times New Roman" w:hAnsi="Times New Roman" w:cs="Times New Roman"/>
          <w:b/>
          <w:sz w:val="24"/>
          <w:szCs w:val="24"/>
        </w:rPr>
        <w:t>.</w:t>
      </w:r>
      <w:r>
        <w:rPr>
          <w:rFonts w:ascii="Times New Roman" w:hAnsi="Times New Roman" w:cs="Times New Roman"/>
          <w:b/>
          <w:sz w:val="24"/>
          <w:szCs w:val="24"/>
        </w:rPr>
        <w:t xml:space="preserve"> </w:t>
      </w:r>
      <w:r w:rsidR="00370B22" w:rsidRPr="00370B22">
        <w:rPr>
          <w:rFonts w:ascii="Times New Roman" w:eastAsia="Times New Roman" w:hAnsi="Times New Roman" w:cs="Times New Roman"/>
          <w:color w:val="000000"/>
          <w:sz w:val="24"/>
          <w:szCs w:val="24"/>
        </w:rPr>
        <w:t>Impact of RDI Levels of FOLFOX Chemotherapy on All-Cause Mortality and Cancer-Specific Mortality in Low-Risk Stage III Colon Cancer---Univariable Analysis</w:t>
      </w:r>
    </w:p>
    <w:p w14:paraId="779C0B90" w14:textId="77777777" w:rsidR="00370B22" w:rsidRPr="00370B22" w:rsidRDefault="00370B22" w:rsidP="00370B22">
      <w:pPr>
        <w:spacing w:after="0" w:line="240" w:lineRule="auto"/>
        <w:rPr>
          <w:rFonts w:ascii="Times New Roman" w:hAnsi="Times New Roman" w:cs="Times New Roman"/>
          <w:sz w:val="24"/>
          <w:szCs w:val="24"/>
        </w:rPr>
      </w:pPr>
    </w:p>
    <w:tbl>
      <w:tblPr>
        <w:tblW w:w="9578" w:type="dxa"/>
        <w:jc w:val="center"/>
        <w:tblLook w:val="04A0" w:firstRow="1" w:lastRow="0" w:firstColumn="1" w:lastColumn="0" w:noHBand="0" w:noVBand="1"/>
      </w:tblPr>
      <w:tblGrid>
        <w:gridCol w:w="2970"/>
        <w:gridCol w:w="1440"/>
        <w:gridCol w:w="1900"/>
        <w:gridCol w:w="636"/>
        <w:gridCol w:w="1996"/>
        <w:gridCol w:w="636"/>
      </w:tblGrid>
      <w:tr w:rsidR="00370B22" w:rsidRPr="00370B22" w14:paraId="4CFB30C4" w14:textId="77777777" w:rsidTr="003D6B0A">
        <w:trPr>
          <w:trHeight w:val="468"/>
          <w:jc w:val="center"/>
        </w:trPr>
        <w:tc>
          <w:tcPr>
            <w:tcW w:w="29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48B4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397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0FCEEC"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 xml:space="preserve">All-cause </w:t>
            </w:r>
            <w:proofErr w:type="gramStart"/>
            <w:r w:rsidRPr="00370B22">
              <w:rPr>
                <w:rFonts w:ascii="Times New Roman" w:eastAsia="Times New Roman" w:hAnsi="Times New Roman" w:cs="Times New Roman"/>
                <w:color w:val="000000"/>
                <w:sz w:val="24"/>
                <w:szCs w:val="24"/>
              </w:rPr>
              <w:t>mortality  (</w:t>
            </w:r>
            <w:proofErr w:type="gramEnd"/>
            <w:r w:rsidRPr="00370B22">
              <w:rPr>
                <w:rFonts w:ascii="Times New Roman" w:eastAsia="Times New Roman" w:hAnsi="Times New Roman" w:cs="Times New Roman"/>
                <w:color w:val="000000"/>
                <w:sz w:val="24"/>
                <w:szCs w:val="24"/>
              </w:rPr>
              <w:t>N=237)</w:t>
            </w:r>
          </w:p>
        </w:tc>
        <w:tc>
          <w:tcPr>
            <w:tcW w:w="26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823369"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Cancer-specific mortality (N=232)</w:t>
            </w:r>
          </w:p>
        </w:tc>
      </w:tr>
      <w:tr w:rsidR="00370B22" w:rsidRPr="00370B22" w14:paraId="6906B622" w14:textId="77777777" w:rsidTr="003D6B0A">
        <w:trPr>
          <w:trHeight w:val="660"/>
          <w:jc w:val="center"/>
        </w:trPr>
        <w:tc>
          <w:tcPr>
            <w:tcW w:w="29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8A9F2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086DBD"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 of RDI lower than cutoffs</w:t>
            </w:r>
          </w:p>
        </w:tc>
        <w:tc>
          <w:tcPr>
            <w:tcW w:w="1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6CBF2"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 xml:space="preserve">Crude HR                              </w:t>
            </w:r>
            <w:proofErr w:type="gramStart"/>
            <w:r w:rsidRPr="00370B22">
              <w:rPr>
                <w:rFonts w:ascii="Times New Roman" w:eastAsia="Times New Roman" w:hAnsi="Times New Roman" w:cs="Times New Roman"/>
                <w:color w:val="000000"/>
                <w:sz w:val="24"/>
                <w:szCs w:val="24"/>
              </w:rPr>
              <w:t xml:space="preserve">   (</w:t>
            </w:r>
            <w:proofErr w:type="gramEnd"/>
            <w:r w:rsidRPr="00370B22">
              <w:rPr>
                <w:rFonts w:ascii="Times New Roman" w:eastAsia="Times New Roman" w:hAnsi="Times New Roman" w:cs="Times New Roman"/>
                <w:color w:val="000000"/>
                <w:sz w:val="24"/>
                <w:szCs w:val="24"/>
              </w:rPr>
              <w:t>95% CI)</w:t>
            </w:r>
          </w:p>
        </w:tc>
        <w:tc>
          <w:tcPr>
            <w:tcW w:w="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AC621"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P</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7F90D7"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 xml:space="preserve">Crude HR                              </w:t>
            </w:r>
            <w:proofErr w:type="gramStart"/>
            <w:r w:rsidRPr="00370B22">
              <w:rPr>
                <w:rFonts w:ascii="Times New Roman" w:eastAsia="Times New Roman" w:hAnsi="Times New Roman" w:cs="Times New Roman"/>
                <w:color w:val="000000"/>
                <w:sz w:val="24"/>
                <w:szCs w:val="24"/>
              </w:rPr>
              <w:t xml:space="preserve">   (</w:t>
            </w:r>
            <w:proofErr w:type="gramEnd"/>
            <w:r w:rsidRPr="00370B22">
              <w:rPr>
                <w:rFonts w:ascii="Times New Roman" w:eastAsia="Times New Roman" w:hAnsi="Times New Roman" w:cs="Times New Roman"/>
                <w:color w:val="000000"/>
                <w:sz w:val="24"/>
                <w:szCs w:val="24"/>
              </w:rPr>
              <w:t>95% CI)</w:t>
            </w:r>
          </w:p>
        </w:tc>
        <w:tc>
          <w:tcPr>
            <w:tcW w:w="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E4726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P</w:t>
            </w:r>
          </w:p>
        </w:tc>
      </w:tr>
      <w:tr w:rsidR="00370B22" w:rsidRPr="00370B22" w14:paraId="75480924" w14:textId="77777777" w:rsidTr="003D6B0A">
        <w:trPr>
          <w:trHeight w:val="84"/>
          <w:jc w:val="center"/>
        </w:trPr>
        <w:tc>
          <w:tcPr>
            <w:tcW w:w="2970" w:type="dxa"/>
            <w:tcBorders>
              <w:top w:val="single" w:sz="4" w:space="0" w:color="auto"/>
              <w:left w:val="single" w:sz="4" w:space="0" w:color="auto"/>
              <w:bottom w:val="nil"/>
              <w:right w:val="single" w:sz="4" w:space="0" w:color="auto"/>
            </w:tcBorders>
            <w:shd w:val="clear" w:color="auto" w:fill="auto"/>
            <w:noWrap/>
            <w:vAlign w:val="bottom"/>
            <w:hideMark/>
          </w:tcPr>
          <w:p w14:paraId="41861DD4"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single" w:sz="4" w:space="0" w:color="auto"/>
              <w:left w:val="single" w:sz="4" w:space="0" w:color="auto"/>
              <w:bottom w:val="nil"/>
              <w:right w:val="single" w:sz="4" w:space="0" w:color="auto"/>
            </w:tcBorders>
            <w:shd w:val="clear" w:color="auto" w:fill="auto"/>
            <w:noWrap/>
            <w:vAlign w:val="bottom"/>
            <w:hideMark/>
          </w:tcPr>
          <w:p w14:paraId="513321EF"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single" w:sz="4" w:space="0" w:color="auto"/>
              <w:left w:val="single" w:sz="4" w:space="0" w:color="auto"/>
              <w:bottom w:val="nil"/>
              <w:right w:val="single" w:sz="4" w:space="0" w:color="auto"/>
            </w:tcBorders>
            <w:shd w:val="clear" w:color="auto" w:fill="auto"/>
            <w:noWrap/>
            <w:vAlign w:val="bottom"/>
            <w:hideMark/>
          </w:tcPr>
          <w:p w14:paraId="31A9B873"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single" w:sz="4" w:space="0" w:color="auto"/>
              <w:left w:val="single" w:sz="4" w:space="0" w:color="auto"/>
              <w:bottom w:val="nil"/>
              <w:right w:val="single" w:sz="4" w:space="0" w:color="auto"/>
            </w:tcBorders>
            <w:shd w:val="clear" w:color="auto" w:fill="auto"/>
            <w:noWrap/>
            <w:vAlign w:val="bottom"/>
            <w:hideMark/>
          </w:tcPr>
          <w:p w14:paraId="5715D976"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single" w:sz="4" w:space="0" w:color="auto"/>
              <w:left w:val="single" w:sz="4" w:space="0" w:color="auto"/>
              <w:bottom w:val="nil"/>
              <w:right w:val="single" w:sz="4" w:space="0" w:color="auto"/>
            </w:tcBorders>
            <w:shd w:val="clear" w:color="auto" w:fill="auto"/>
            <w:noWrap/>
            <w:vAlign w:val="bottom"/>
            <w:hideMark/>
          </w:tcPr>
          <w:p w14:paraId="7C445ADB"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single" w:sz="4" w:space="0" w:color="auto"/>
              <w:left w:val="single" w:sz="4" w:space="0" w:color="auto"/>
              <w:bottom w:val="nil"/>
              <w:right w:val="single" w:sz="4" w:space="0" w:color="auto"/>
            </w:tcBorders>
            <w:shd w:val="clear" w:color="auto" w:fill="auto"/>
            <w:noWrap/>
            <w:vAlign w:val="bottom"/>
            <w:hideMark/>
          </w:tcPr>
          <w:p w14:paraId="655E7F57"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4CD6B9CD" w14:textId="77777777" w:rsidTr="003D6B0A">
        <w:trPr>
          <w:trHeight w:val="276"/>
          <w:jc w:val="center"/>
        </w:trPr>
        <w:tc>
          <w:tcPr>
            <w:tcW w:w="2970" w:type="dxa"/>
            <w:tcBorders>
              <w:top w:val="nil"/>
              <w:left w:val="single" w:sz="4" w:space="0" w:color="auto"/>
              <w:bottom w:val="nil"/>
              <w:right w:val="single" w:sz="4" w:space="0" w:color="auto"/>
            </w:tcBorders>
            <w:shd w:val="clear" w:color="auto" w:fill="auto"/>
            <w:noWrap/>
            <w:vAlign w:val="bottom"/>
            <w:hideMark/>
          </w:tcPr>
          <w:p w14:paraId="6793906E" w14:textId="056E32FF"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45%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45%</w:t>
            </w:r>
          </w:p>
        </w:tc>
        <w:tc>
          <w:tcPr>
            <w:tcW w:w="1440" w:type="dxa"/>
            <w:tcBorders>
              <w:top w:val="nil"/>
              <w:left w:val="single" w:sz="4" w:space="0" w:color="auto"/>
              <w:bottom w:val="nil"/>
              <w:right w:val="single" w:sz="4" w:space="0" w:color="auto"/>
            </w:tcBorders>
            <w:shd w:val="clear" w:color="auto" w:fill="auto"/>
            <w:noWrap/>
            <w:vAlign w:val="bottom"/>
            <w:hideMark/>
          </w:tcPr>
          <w:p w14:paraId="2318AA99"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15.6</w:t>
            </w:r>
          </w:p>
        </w:tc>
        <w:tc>
          <w:tcPr>
            <w:tcW w:w="1900" w:type="dxa"/>
            <w:tcBorders>
              <w:top w:val="nil"/>
              <w:left w:val="single" w:sz="4" w:space="0" w:color="auto"/>
              <w:bottom w:val="nil"/>
              <w:right w:val="single" w:sz="4" w:space="0" w:color="auto"/>
            </w:tcBorders>
            <w:shd w:val="clear" w:color="auto" w:fill="auto"/>
            <w:noWrap/>
            <w:vAlign w:val="center"/>
            <w:hideMark/>
          </w:tcPr>
          <w:p w14:paraId="045572D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0.71 (0.21, 2.35)</w:t>
            </w:r>
          </w:p>
        </w:tc>
        <w:tc>
          <w:tcPr>
            <w:tcW w:w="636" w:type="dxa"/>
            <w:tcBorders>
              <w:top w:val="nil"/>
              <w:left w:val="single" w:sz="4" w:space="0" w:color="auto"/>
              <w:bottom w:val="nil"/>
              <w:right w:val="single" w:sz="4" w:space="0" w:color="auto"/>
            </w:tcBorders>
            <w:shd w:val="clear" w:color="auto" w:fill="auto"/>
            <w:noWrap/>
            <w:vAlign w:val="center"/>
            <w:hideMark/>
          </w:tcPr>
          <w:p w14:paraId="5D248CD5"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0.58</w:t>
            </w:r>
          </w:p>
        </w:tc>
        <w:tc>
          <w:tcPr>
            <w:tcW w:w="1996" w:type="dxa"/>
            <w:tcBorders>
              <w:top w:val="nil"/>
              <w:left w:val="single" w:sz="4" w:space="0" w:color="auto"/>
              <w:bottom w:val="nil"/>
              <w:right w:val="single" w:sz="4" w:space="0" w:color="auto"/>
            </w:tcBorders>
            <w:shd w:val="clear" w:color="auto" w:fill="auto"/>
            <w:noWrap/>
            <w:vAlign w:val="center"/>
            <w:hideMark/>
          </w:tcPr>
          <w:p w14:paraId="5E3BAD94"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0.45 (0.06, 3.42)</w:t>
            </w:r>
          </w:p>
        </w:tc>
        <w:tc>
          <w:tcPr>
            <w:tcW w:w="636" w:type="dxa"/>
            <w:tcBorders>
              <w:top w:val="nil"/>
              <w:left w:val="single" w:sz="4" w:space="0" w:color="auto"/>
              <w:bottom w:val="nil"/>
              <w:right w:val="single" w:sz="4" w:space="0" w:color="auto"/>
            </w:tcBorders>
            <w:shd w:val="clear" w:color="auto" w:fill="auto"/>
            <w:noWrap/>
            <w:vAlign w:val="center"/>
            <w:hideMark/>
          </w:tcPr>
          <w:p w14:paraId="327EFDA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0.44</w:t>
            </w:r>
          </w:p>
        </w:tc>
      </w:tr>
      <w:tr w:rsidR="00370B22" w:rsidRPr="00370B22" w14:paraId="05081777" w14:textId="77777777" w:rsidTr="003D6B0A">
        <w:trPr>
          <w:trHeight w:val="72"/>
          <w:jc w:val="center"/>
        </w:trPr>
        <w:tc>
          <w:tcPr>
            <w:tcW w:w="2970" w:type="dxa"/>
            <w:tcBorders>
              <w:top w:val="nil"/>
              <w:left w:val="single" w:sz="4" w:space="0" w:color="auto"/>
              <w:bottom w:val="nil"/>
              <w:right w:val="single" w:sz="4" w:space="0" w:color="auto"/>
            </w:tcBorders>
            <w:shd w:val="clear" w:color="auto" w:fill="auto"/>
            <w:noWrap/>
            <w:vAlign w:val="bottom"/>
            <w:hideMark/>
          </w:tcPr>
          <w:p w14:paraId="64A2D32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nil"/>
              <w:left w:val="single" w:sz="4" w:space="0" w:color="auto"/>
              <w:bottom w:val="nil"/>
              <w:right w:val="single" w:sz="4" w:space="0" w:color="auto"/>
            </w:tcBorders>
            <w:shd w:val="clear" w:color="auto" w:fill="auto"/>
            <w:noWrap/>
            <w:vAlign w:val="bottom"/>
            <w:hideMark/>
          </w:tcPr>
          <w:p w14:paraId="558B454D"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nil"/>
              <w:left w:val="single" w:sz="4" w:space="0" w:color="auto"/>
              <w:bottom w:val="nil"/>
              <w:right w:val="single" w:sz="4" w:space="0" w:color="auto"/>
            </w:tcBorders>
            <w:shd w:val="clear" w:color="auto" w:fill="auto"/>
            <w:noWrap/>
            <w:vAlign w:val="center"/>
            <w:hideMark/>
          </w:tcPr>
          <w:p w14:paraId="5AEE7569"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center"/>
            <w:hideMark/>
          </w:tcPr>
          <w:p w14:paraId="091B2034"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nil"/>
              <w:left w:val="single" w:sz="4" w:space="0" w:color="auto"/>
              <w:bottom w:val="nil"/>
              <w:right w:val="single" w:sz="4" w:space="0" w:color="auto"/>
            </w:tcBorders>
            <w:shd w:val="clear" w:color="auto" w:fill="auto"/>
            <w:noWrap/>
            <w:vAlign w:val="center"/>
            <w:hideMark/>
          </w:tcPr>
          <w:p w14:paraId="70AF234F"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center"/>
            <w:hideMark/>
          </w:tcPr>
          <w:p w14:paraId="09EA854A"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5D2319D7" w14:textId="77777777" w:rsidTr="003D6B0A">
        <w:trPr>
          <w:trHeight w:val="276"/>
          <w:jc w:val="center"/>
        </w:trPr>
        <w:tc>
          <w:tcPr>
            <w:tcW w:w="2970" w:type="dxa"/>
            <w:tcBorders>
              <w:top w:val="nil"/>
              <w:left w:val="single" w:sz="4" w:space="0" w:color="auto"/>
              <w:bottom w:val="nil"/>
              <w:right w:val="single" w:sz="4" w:space="0" w:color="auto"/>
            </w:tcBorders>
            <w:shd w:val="clear" w:color="auto" w:fill="auto"/>
            <w:noWrap/>
            <w:vAlign w:val="bottom"/>
            <w:hideMark/>
          </w:tcPr>
          <w:p w14:paraId="2278F0D2" w14:textId="75150CBA"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50%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50%</w:t>
            </w:r>
          </w:p>
        </w:tc>
        <w:tc>
          <w:tcPr>
            <w:tcW w:w="1440" w:type="dxa"/>
            <w:tcBorders>
              <w:top w:val="nil"/>
              <w:left w:val="single" w:sz="4" w:space="0" w:color="auto"/>
              <w:bottom w:val="nil"/>
              <w:right w:val="single" w:sz="4" w:space="0" w:color="auto"/>
            </w:tcBorders>
            <w:shd w:val="clear" w:color="auto" w:fill="auto"/>
            <w:noWrap/>
            <w:vAlign w:val="bottom"/>
            <w:hideMark/>
          </w:tcPr>
          <w:p w14:paraId="14BB71CC"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19.4</w:t>
            </w:r>
          </w:p>
        </w:tc>
        <w:tc>
          <w:tcPr>
            <w:tcW w:w="1900" w:type="dxa"/>
            <w:tcBorders>
              <w:top w:val="nil"/>
              <w:left w:val="single" w:sz="4" w:space="0" w:color="auto"/>
              <w:bottom w:val="nil"/>
              <w:right w:val="single" w:sz="4" w:space="0" w:color="auto"/>
            </w:tcBorders>
            <w:shd w:val="clear" w:color="auto" w:fill="auto"/>
            <w:noWrap/>
            <w:vAlign w:val="center"/>
            <w:hideMark/>
          </w:tcPr>
          <w:p w14:paraId="760959DA"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1.54 (0.65, 3.62)</w:t>
            </w:r>
          </w:p>
        </w:tc>
        <w:tc>
          <w:tcPr>
            <w:tcW w:w="636" w:type="dxa"/>
            <w:tcBorders>
              <w:top w:val="nil"/>
              <w:left w:val="single" w:sz="4" w:space="0" w:color="auto"/>
              <w:bottom w:val="nil"/>
              <w:right w:val="single" w:sz="4" w:space="0" w:color="auto"/>
            </w:tcBorders>
            <w:shd w:val="clear" w:color="auto" w:fill="auto"/>
            <w:noWrap/>
            <w:vAlign w:val="center"/>
            <w:hideMark/>
          </w:tcPr>
          <w:p w14:paraId="5FC8E99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0.32</w:t>
            </w:r>
          </w:p>
        </w:tc>
        <w:tc>
          <w:tcPr>
            <w:tcW w:w="1996" w:type="dxa"/>
            <w:tcBorders>
              <w:top w:val="nil"/>
              <w:left w:val="single" w:sz="4" w:space="0" w:color="auto"/>
              <w:bottom w:val="nil"/>
              <w:right w:val="single" w:sz="4" w:space="0" w:color="auto"/>
            </w:tcBorders>
            <w:shd w:val="clear" w:color="auto" w:fill="auto"/>
            <w:noWrap/>
            <w:vAlign w:val="center"/>
            <w:hideMark/>
          </w:tcPr>
          <w:p w14:paraId="39B7421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1.20 (0.34, 4.21)</w:t>
            </w:r>
          </w:p>
        </w:tc>
        <w:tc>
          <w:tcPr>
            <w:tcW w:w="636" w:type="dxa"/>
            <w:tcBorders>
              <w:top w:val="nil"/>
              <w:left w:val="single" w:sz="4" w:space="0" w:color="auto"/>
              <w:bottom w:val="nil"/>
              <w:right w:val="single" w:sz="4" w:space="0" w:color="auto"/>
            </w:tcBorders>
            <w:shd w:val="clear" w:color="auto" w:fill="auto"/>
            <w:noWrap/>
            <w:vAlign w:val="center"/>
            <w:hideMark/>
          </w:tcPr>
          <w:p w14:paraId="46704C12"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0.78</w:t>
            </w:r>
          </w:p>
        </w:tc>
      </w:tr>
      <w:tr w:rsidR="00370B22" w:rsidRPr="00370B22" w14:paraId="1D2DCB2D" w14:textId="77777777" w:rsidTr="003D6B0A">
        <w:trPr>
          <w:trHeight w:val="60"/>
          <w:jc w:val="center"/>
        </w:trPr>
        <w:tc>
          <w:tcPr>
            <w:tcW w:w="2970" w:type="dxa"/>
            <w:tcBorders>
              <w:top w:val="nil"/>
              <w:left w:val="single" w:sz="4" w:space="0" w:color="auto"/>
              <w:bottom w:val="nil"/>
              <w:right w:val="single" w:sz="4" w:space="0" w:color="auto"/>
            </w:tcBorders>
            <w:shd w:val="clear" w:color="auto" w:fill="auto"/>
            <w:noWrap/>
            <w:vAlign w:val="center"/>
            <w:hideMark/>
          </w:tcPr>
          <w:p w14:paraId="26A33C00"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nil"/>
              <w:left w:val="single" w:sz="4" w:space="0" w:color="auto"/>
              <w:bottom w:val="nil"/>
              <w:right w:val="single" w:sz="4" w:space="0" w:color="auto"/>
            </w:tcBorders>
            <w:shd w:val="clear" w:color="auto" w:fill="auto"/>
            <w:noWrap/>
            <w:vAlign w:val="center"/>
            <w:hideMark/>
          </w:tcPr>
          <w:p w14:paraId="5F419F3E"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nil"/>
              <w:left w:val="single" w:sz="4" w:space="0" w:color="auto"/>
              <w:bottom w:val="nil"/>
              <w:right w:val="single" w:sz="4" w:space="0" w:color="auto"/>
            </w:tcBorders>
            <w:shd w:val="clear" w:color="auto" w:fill="auto"/>
            <w:noWrap/>
            <w:vAlign w:val="center"/>
            <w:hideMark/>
          </w:tcPr>
          <w:p w14:paraId="73870628"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center"/>
            <w:hideMark/>
          </w:tcPr>
          <w:p w14:paraId="1E04174E"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nil"/>
              <w:left w:val="single" w:sz="4" w:space="0" w:color="auto"/>
              <w:bottom w:val="nil"/>
              <w:right w:val="single" w:sz="4" w:space="0" w:color="auto"/>
            </w:tcBorders>
            <w:shd w:val="clear" w:color="auto" w:fill="auto"/>
            <w:noWrap/>
            <w:vAlign w:val="center"/>
            <w:hideMark/>
          </w:tcPr>
          <w:p w14:paraId="1DFEDF09"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center"/>
            <w:hideMark/>
          </w:tcPr>
          <w:p w14:paraId="55BF0BA0"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00567C27" w14:textId="77777777" w:rsidTr="003D6B0A">
        <w:trPr>
          <w:trHeight w:val="276"/>
          <w:jc w:val="center"/>
        </w:trPr>
        <w:tc>
          <w:tcPr>
            <w:tcW w:w="2970" w:type="dxa"/>
            <w:tcBorders>
              <w:top w:val="nil"/>
              <w:left w:val="single" w:sz="4" w:space="0" w:color="auto"/>
              <w:bottom w:val="nil"/>
              <w:right w:val="single" w:sz="4" w:space="0" w:color="auto"/>
            </w:tcBorders>
            <w:shd w:val="clear" w:color="auto" w:fill="auto"/>
            <w:noWrap/>
            <w:vAlign w:val="bottom"/>
            <w:hideMark/>
          </w:tcPr>
          <w:p w14:paraId="00D82CDB" w14:textId="71BA1821"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55%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55%</w:t>
            </w:r>
          </w:p>
        </w:tc>
        <w:tc>
          <w:tcPr>
            <w:tcW w:w="1440" w:type="dxa"/>
            <w:tcBorders>
              <w:top w:val="nil"/>
              <w:left w:val="single" w:sz="4" w:space="0" w:color="auto"/>
              <w:bottom w:val="nil"/>
              <w:right w:val="single" w:sz="4" w:space="0" w:color="auto"/>
            </w:tcBorders>
            <w:shd w:val="clear" w:color="auto" w:fill="auto"/>
            <w:noWrap/>
            <w:vAlign w:val="bottom"/>
            <w:hideMark/>
          </w:tcPr>
          <w:p w14:paraId="003D872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21.9</w:t>
            </w:r>
          </w:p>
        </w:tc>
        <w:tc>
          <w:tcPr>
            <w:tcW w:w="1900" w:type="dxa"/>
            <w:tcBorders>
              <w:top w:val="nil"/>
              <w:left w:val="single" w:sz="4" w:space="0" w:color="auto"/>
              <w:bottom w:val="nil"/>
              <w:right w:val="single" w:sz="4" w:space="0" w:color="auto"/>
            </w:tcBorders>
            <w:shd w:val="clear" w:color="auto" w:fill="auto"/>
            <w:noWrap/>
            <w:vAlign w:val="center"/>
            <w:hideMark/>
          </w:tcPr>
          <w:p w14:paraId="5377BD5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1.37 (0.58, 3.23)</w:t>
            </w:r>
          </w:p>
        </w:tc>
        <w:tc>
          <w:tcPr>
            <w:tcW w:w="636" w:type="dxa"/>
            <w:tcBorders>
              <w:top w:val="nil"/>
              <w:left w:val="single" w:sz="4" w:space="0" w:color="auto"/>
              <w:bottom w:val="nil"/>
              <w:right w:val="single" w:sz="4" w:space="0" w:color="auto"/>
            </w:tcBorders>
            <w:shd w:val="clear" w:color="auto" w:fill="auto"/>
            <w:noWrap/>
            <w:vAlign w:val="center"/>
            <w:hideMark/>
          </w:tcPr>
          <w:p w14:paraId="33A7787A"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0.47</w:t>
            </w:r>
          </w:p>
        </w:tc>
        <w:tc>
          <w:tcPr>
            <w:tcW w:w="1996" w:type="dxa"/>
            <w:tcBorders>
              <w:top w:val="nil"/>
              <w:left w:val="single" w:sz="4" w:space="0" w:color="auto"/>
              <w:bottom w:val="nil"/>
              <w:right w:val="single" w:sz="4" w:space="0" w:color="auto"/>
            </w:tcBorders>
            <w:shd w:val="clear" w:color="auto" w:fill="auto"/>
            <w:noWrap/>
            <w:vAlign w:val="center"/>
            <w:hideMark/>
          </w:tcPr>
          <w:p w14:paraId="3AC5A16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1.06 (0.30, 3.74)</w:t>
            </w:r>
          </w:p>
        </w:tc>
        <w:tc>
          <w:tcPr>
            <w:tcW w:w="636" w:type="dxa"/>
            <w:tcBorders>
              <w:top w:val="nil"/>
              <w:left w:val="single" w:sz="4" w:space="0" w:color="auto"/>
              <w:bottom w:val="nil"/>
              <w:right w:val="single" w:sz="4" w:space="0" w:color="auto"/>
            </w:tcBorders>
            <w:shd w:val="clear" w:color="auto" w:fill="auto"/>
            <w:noWrap/>
            <w:vAlign w:val="center"/>
            <w:hideMark/>
          </w:tcPr>
          <w:p w14:paraId="4ACEF33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0.92</w:t>
            </w:r>
          </w:p>
        </w:tc>
      </w:tr>
      <w:tr w:rsidR="00370B22" w:rsidRPr="00370B22" w14:paraId="252C62DE" w14:textId="77777777" w:rsidTr="003D6B0A">
        <w:trPr>
          <w:trHeight w:val="72"/>
          <w:jc w:val="center"/>
        </w:trPr>
        <w:tc>
          <w:tcPr>
            <w:tcW w:w="2970" w:type="dxa"/>
            <w:tcBorders>
              <w:top w:val="nil"/>
              <w:left w:val="single" w:sz="4" w:space="0" w:color="auto"/>
              <w:bottom w:val="nil"/>
              <w:right w:val="single" w:sz="4" w:space="0" w:color="auto"/>
            </w:tcBorders>
            <w:shd w:val="clear" w:color="auto" w:fill="auto"/>
            <w:noWrap/>
            <w:vAlign w:val="bottom"/>
            <w:hideMark/>
          </w:tcPr>
          <w:p w14:paraId="10E5837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nil"/>
              <w:left w:val="single" w:sz="4" w:space="0" w:color="auto"/>
              <w:bottom w:val="nil"/>
              <w:right w:val="single" w:sz="4" w:space="0" w:color="auto"/>
            </w:tcBorders>
            <w:shd w:val="clear" w:color="auto" w:fill="auto"/>
            <w:noWrap/>
            <w:vAlign w:val="bottom"/>
            <w:hideMark/>
          </w:tcPr>
          <w:p w14:paraId="4FF22967"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nil"/>
              <w:left w:val="single" w:sz="4" w:space="0" w:color="auto"/>
              <w:bottom w:val="nil"/>
              <w:right w:val="single" w:sz="4" w:space="0" w:color="auto"/>
            </w:tcBorders>
            <w:shd w:val="clear" w:color="auto" w:fill="auto"/>
            <w:noWrap/>
            <w:vAlign w:val="bottom"/>
            <w:hideMark/>
          </w:tcPr>
          <w:p w14:paraId="182B3835"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4D180280"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nil"/>
              <w:left w:val="single" w:sz="4" w:space="0" w:color="auto"/>
              <w:bottom w:val="nil"/>
              <w:right w:val="single" w:sz="4" w:space="0" w:color="auto"/>
            </w:tcBorders>
            <w:shd w:val="clear" w:color="auto" w:fill="auto"/>
            <w:noWrap/>
            <w:vAlign w:val="bottom"/>
            <w:hideMark/>
          </w:tcPr>
          <w:p w14:paraId="2D24B9A6"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74F2E447"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1E7DADD1" w14:textId="77777777" w:rsidTr="003D6B0A">
        <w:trPr>
          <w:trHeight w:val="276"/>
          <w:jc w:val="center"/>
        </w:trPr>
        <w:tc>
          <w:tcPr>
            <w:tcW w:w="2970" w:type="dxa"/>
            <w:tcBorders>
              <w:top w:val="nil"/>
              <w:left w:val="single" w:sz="4" w:space="0" w:color="auto"/>
              <w:bottom w:val="nil"/>
              <w:right w:val="single" w:sz="4" w:space="0" w:color="auto"/>
            </w:tcBorders>
            <w:shd w:val="clear" w:color="auto" w:fill="auto"/>
            <w:noWrap/>
            <w:vAlign w:val="bottom"/>
            <w:hideMark/>
          </w:tcPr>
          <w:p w14:paraId="32D9A7DB" w14:textId="2D1E3C61"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60%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60%</w:t>
            </w:r>
          </w:p>
        </w:tc>
        <w:tc>
          <w:tcPr>
            <w:tcW w:w="1440" w:type="dxa"/>
            <w:tcBorders>
              <w:top w:val="nil"/>
              <w:left w:val="single" w:sz="4" w:space="0" w:color="auto"/>
              <w:bottom w:val="nil"/>
              <w:right w:val="single" w:sz="4" w:space="0" w:color="auto"/>
            </w:tcBorders>
            <w:shd w:val="clear" w:color="auto" w:fill="auto"/>
            <w:noWrap/>
            <w:vAlign w:val="bottom"/>
            <w:hideMark/>
          </w:tcPr>
          <w:p w14:paraId="630941CA"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26.6</w:t>
            </w:r>
          </w:p>
        </w:tc>
        <w:tc>
          <w:tcPr>
            <w:tcW w:w="1900" w:type="dxa"/>
            <w:tcBorders>
              <w:top w:val="nil"/>
              <w:left w:val="single" w:sz="4" w:space="0" w:color="auto"/>
              <w:bottom w:val="nil"/>
              <w:right w:val="single" w:sz="4" w:space="0" w:color="auto"/>
            </w:tcBorders>
            <w:shd w:val="clear" w:color="auto" w:fill="auto"/>
            <w:noWrap/>
            <w:vAlign w:val="center"/>
            <w:hideMark/>
          </w:tcPr>
          <w:p w14:paraId="752DDC4A"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1.24 (0.55, 2.83)</w:t>
            </w:r>
          </w:p>
        </w:tc>
        <w:tc>
          <w:tcPr>
            <w:tcW w:w="636" w:type="dxa"/>
            <w:tcBorders>
              <w:top w:val="nil"/>
              <w:left w:val="single" w:sz="4" w:space="0" w:color="auto"/>
              <w:bottom w:val="nil"/>
              <w:right w:val="single" w:sz="4" w:space="0" w:color="auto"/>
            </w:tcBorders>
            <w:shd w:val="clear" w:color="auto" w:fill="auto"/>
            <w:noWrap/>
            <w:vAlign w:val="center"/>
            <w:hideMark/>
          </w:tcPr>
          <w:p w14:paraId="7B68F10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0.6</w:t>
            </w:r>
          </w:p>
        </w:tc>
        <w:tc>
          <w:tcPr>
            <w:tcW w:w="1996" w:type="dxa"/>
            <w:tcBorders>
              <w:top w:val="nil"/>
              <w:left w:val="single" w:sz="4" w:space="0" w:color="auto"/>
              <w:bottom w:val="nil"/>
              <w:right w:val="single" w:sz="4" w:space="0" w:color="auto"/>
            </w:tcBorders>
            <w:shd w:val="clear" w:color="auto" w:fill="auto"/>
            <w:noWrap/>
            <w:vAlign w:val="center"/>
            <w:hideMark/>
          </w:tcPr>
          <w:p w14:paraId="03F373FC"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0.77 (0.22, 2.72)</w:t>
            </w:r>
          </w:p>
        </w:tc>
        <w:tc>
          <w:tcPr>
            <w:tcW w:w="636" w:type="dxa"/>
            <w:tcBorders>
              <w:top w:val="nil"/>
              <w:left w:val="single" w:sz="4" w:space="0" w:color="auto"/>
              <w:bottom w:val="nil"/>
              <w:right w:val="single" w:sz="4" w:space="0" w:color="auto"/>
            </w:tcBorders>
            <w:shd w:val="clear" w:color="auto" w:fill="auto"/>
            <w:noWrap/>
            <w:vAlign w:val="center"/>
            <w:hideMark/>
          </w:tcPr>
          <w:p w14:paraId="2DB54751"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0.68</w:t>
            </w:r>
          </w:p>
        </w:tc>
      </w:tr>
      <w:tr w:rsidR="00370B22" w:rsidRPr="00370B22" w14:paraId="30712521" w14:textId="77777777" w:rsidTr="003D6B0A">
        <w:trPr>
          <w:trHeight w:val="48"/>
          <w:jc w:val="center"/>
        </w:trPr>
        <w:tc>
          <w:tcPr>
            <w:tcW w:w="2970" w:type="dxa"/>
            <w:tcBorders>
              <w:top w:val="nil"/>
              <w:left w:val="single" w:sz="4" w:space="0" w:color="auto"/>
              <w:bottom w:val="nil"/>
              <w:right w:val="single" w:sz="4" w:space="0" w:color="auto"/>
            </w:tcBorders>
            <w:shd w:val="clear" w:color="auto" w:fill="auto"/>
            <w:noWrap/>
            <w:vAlign w:val="bottom"/>
            <w:hideMark/>
          </w:tcPr>
          <w:p w14:paraId="5681F807"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nil"/>
              <w:left w:val="single" w:sz="4" w:space="0" w:color="auto"/>
              <w:bottom w:val="nil"/>
              <w:right w:val="single" w:sz="4" w:space="0" w:color="auto"/>
            </w:tcBorders>
            <w:shd w:val="clear" w:color="auto" w:fill="auto"/>
            <w:noWrap/>
            <w:vAlign w:val="bottom"/>
            <w:hideMark/>
          </w:tcPr>
          <w:p w14:paraId="5314FADC"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nil"/>
              <w:left w:val="single" w:sz="4" w:space="0" w:color="auto"/>
              <w:bottom w:val="nil"/>
              <w:right w:val="single" w:sz="4" w:space="0" w:color="auto"/>
            </w:tcBorders>
            <w:shd w:val="clear" w:color="auto" w:fill="auto"/>
            <w:noWrap/>
            <w:vAlign w:val="bottom"/>
            <w:hideMark/>
          </w:tcPr>
          <w:p w14:paraId="66E8AD5A"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074F30F6"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nil"/>
              <w:left w:val="single" w:sz="4" w:space="0" w:color="auto"/>
              <w:bottom w:val="nil"/>
              <w:right w:val="single" w:sz="4" w:space="0" w:color="auto"/>
            </w:tcBorders>
            <w:shd w:val="clear" w:color="auto" w:fill="auto"/>
            <w:noWrap/>
            <w:vAlign w:val="bottom"/>
            <w:hideMark/>
          </w:tcPr>
          <w:p w14:paraId="041609FD"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5C89E05D"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1E054784" w14:textId="77777777" w:rsidTr="003D6B0A">
        <w:trPr>
          <w:trHeight w:val="276"/>
          <w:jc w:val="center"/>
        </w:trPr>
        <w:tc>
          <w:tcPr>
            <w:tcW w:w="2970" w:type="dxa"/>
            <w:tcBorders>
              <w:top w:val="nil"/>
              <w:left w:val="single" w:sz="4" w:space="0" w:color="auto"/>
              <w:bottom w:val="nil"/>
              <w:right w:val="single" w:sz="4" w:space="0" w:color="auto"/>
            </w:tcBorders>
            <w:shd w:val="clear" w:color="auto" w:fill="auto"/>
            <w:noWrap/>
            <w:vAlign w:val="bottom"/>
            <w:hideMark/>
          </w:tcPr>
          <w:p w14:paraId="7FAA388E" w14:textId="06E08DE6"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65%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65%</w:t>
            </w:r>
          </w:p>
        </w:tc>
        <w:tc>
          <w:tcPr>
            <w:tcW w:w="1440" w:type="dxa"/>
            <w:tcBorders>
              <w:top w:val="nil"/>
              <w:left w:val="single" w:sz="4" w:space="0" w:color="auto"/>
              <w:bottom w:val="nil"/>
              <w:right w:val="single" w:sz="4" w:space="0" w:color="auto"/>
            </w:tcBorders>
            <w:shd w:val="clear" w:color="auto" w:fill="auto"/>
            <w:noWrap/>
            <w:vAlign w:val="bottom"/>
            <w:hideMark/>
          </w:tcPr>
          <w:p w14:paraId="40488A0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30.8</w:t>
            </w:r>
          </w:p>
        </w:tc>
        <w:tc>
          <w:tcPr>
            <w:tcW w:w="1900" w:type="dxa"/>
            <w:tcBorders>
              <w:top w:val="nil"/>
              <w:left w:val="single" w:sz="4" w:space="0" w:color="auto"/>
              <w:bottom w:val="nil"/>
              <w:right w:val="single" w:sz="4" w:space="0" w:color="auto"/>
            </w:tcBorders>
            <w:shd w:val="clear" w:color="auto" w:fill="auto"/>
            <w:noWrap/>
            <w:vAlign w:val="center"/>
            <w:hideMark/>
          </w:tcPr>
          <w:p w14:paraId="39E53FA3"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1.36 (0.63, 2.94)</w:t>
            </w:r>
          </w:p>
        </w:tc>
        <w:tc>
          <w:tcPr>
            <w:tcW w:w="636" w:type="dxa"/>
            <w:tcBorders>
              <w:top w:val="nil"/>
              <w:left w:val="single" w:sz="4" w:space="0" w:color="auto"/>
              <w:bottom w:val="nil"/>
              <w:right w:val="single" w:sz="4" w:space="0" w:color="auto"/>
            </w:tcBorders>
            <w:shd w:val="clear" w:color="auto" w:fill="auto"/>
            <w:noWrap/>
            <w:vAlign w:val="center"/>
            <w:hideMark/>
          </w:tcPr>
          <w:p w14:paraId="2AC7100E"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0.44</w:t>
            </w:r>
          </w:p>
        </w:tc>
        <w:tc>
          <w:tcPr>
            <w:tcW w:w="1996" w:type="dxa"/>
            <w:tcBorders>
              <w:top w:val="nil"/>
              <w:left w:val="single" w:sz="4" w:space="0" w:color="auto"/>
              <w:bottom w:val="nil"/>
              <w:right w:val="single" w:sz="4" w:space="0" w:color="auto"/>
            </w:tcBorders>
            <w:shd w:val="clear" w:color="auto" w:fill="auto"/>
            <w:noWrap/>
            <w:vAlign w:val="center"/>
            <w:hideMark/>
          </w:tcPr>
          <w:p w14:paraId="31BFB9A3"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1.21 (0.42, 3.50)</w:t>
            </w:r>
          </w:p>
        </w:tc>
        <w:tc>
          <w:tcPr>
            <w:tcW w:w="636" w:type="dxa"/>
            <w:tcBorders>
              <w:top w:val="nil"/>
              <w:left w:val="single" w:sz="4" w:space="0" w:color="auto"/>
              <w:bottom w:val="nil"/>
              <w:right w:val="single" w:sz="4" w:space="0" w:color="auto"/>
            </w:tcBorders>
            <w:shd w:val="clear" w:color="auto" w:fill="auto"/>
            <w:noWrap/>
            <w:vAlign w:val="center"/>
            <w:hideMark/>
          </w:tcPr>
          <w:p w14:paraId="23415FC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0.73</w:t>
            </w:r>
          </w:p>
        </w:tc>
      </w:tr>
      <w:tr w:rsidR="00370B22" w:rsidRPr="00370B22" w14:paraId="4CF52F72" w14:textId="77777777" w:rsidTr="003D6B0A">
        <w:trPr>
          <w:trHeight w:val="60"/>
          <w:jc w:val="center"/>
        </w:trPr>
        <w:tc>
          <w:tcPr>
            <w:tcW w:w="2970" w:type="dxa"/>
            <w:tcBorders>
              <w:top w:val="nil"/>
              <w:left w:val="single" w:sz="4" w:space="0" w:color="auto"/>
              <w:bottom w:val="nil"/>
              <w:right w:val="single" w:sz="4" w:space="0" w:color="auto"/>
            </w:tcBorders>
            <w:shd w:val="clear" w:color="auto" w:fill="auto"/>
            <w:noWrap/>
            <w:vAlign w:val="bottom"/>
            <w:hideMark/>
          </w:tcPr>
          <w:p w14:paraId="4B955916"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p>
        </w:tc>
        <w:tc>
          <w:tcPr>
            <w:tcW w:w="1440" w:type="dxa"/>
            <w:tcBorders>
              <w:top w:val="nil"/>
              <w:left w:val="single" w:sz="4" w:space="0" w:color="auto"/>
              <w:bottom w:val="nil"/>
              <w:right w:val="single" w:sz="4" w:space="0" w:color="auto"/>
            </w:tcBorders>
            <w:shd w:val="clear" w:color="auto" w:fill="auto"/>
            <w:noWrap/>
            <w:vAlign w:val="bottom"/>
            <w:hideMark/>
          </w:tcPr>
          <w:p w14:paraId="3B877B6E"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00" w:type="dxa"/>
            <w:tcBorders>
              <w:top w:val="nil"/>
              <w:left w:val="single" w:sz="4" w:space="0" w:color="auto"/>
              <w:bottom w:val="nil"/>
              <w:right w:val="single" w:sz="4" w:space="0" w:color="auto"/>
            </w:tcBorders>
            <w:shd w:val="clear" w:color="auto" w:fill="auto"/>
            <w:noWrap/>
            <w:vAlign w:val="bottom"/>
            <w:hideMark/>
          </w:tcPr>
          <w:p w14:paraId="57970E04"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59018E3C"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1996" w:type="dxa"/>
            <w:tcBorders>
              <w:top w:val="nil"/>
              <w:left w:val="single" w:sz="4" w:space="0" w:color="auto"/>
              <w:bottom w:val="nil"/>
              <w:right w:val="single" w:sz="4" w:space="0" w:color="auto"/>
            </w:tcBorders>
            <w:shd w:val="clear" w:color="auto" w:fill="auto"/>
            <w:noWrap/>
            <w:vAlign w:val="bottom"/>
            <w:hideMark/>
          </w:tcPr>
          <w:p w14:paraId="2BBA8B62"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c>
          <w:tcPr>
            <w:tcW w:w="636" w:type="dxa"/>
            <w:tcBorders>
              <w:top w:val="nil"/>
              <w:left w:val="single" w:sz="4" w:space="0" w:color="auto"/>
              <w:bottom w:val="nil"/>
              <w:right w:val="single" w:sz="4" w:space="0" w:color="auto"/>
            </w:tcBorders>
            <w:shd w:val="clear" w:color="auto" w:fill="auto"/>
            <w:noWrap/>
            <w:vAlign w:val="bottom"/>
            <w:hideMark/>
          </w:tcPr>
          <w:p w14:paraId="2E82048C" w14:textId="77777777" w:rsidR="00370B22" w:rsidRPr="00370B22" w:rsidRDefault="00370B22" w:rsidP="00C8288A">
            <w:pPr>
              <w:spacing w:after="0" w:line="240" w:lineRule="auto"/>
              <w:jc w:val="center"/>
              <w:rPr>
                <w:rFonts w:ascii="Times New Roman" w:eastAsia="Times New Roman" w:hAnsi="Times New Roman" w:cs="Times New Roman"/>
                <w:sz w:val="24"/>
                <w:szCs w:val="24"/>
              </w:rPr>
            </w:pPr>
          </w:p>
        </w:tc>
      </w:tr>
      <w:tr w:rsidR="00370B22" w:rsidRPr="00370B22" w14:paraId="01EE781A" w14:textId="77777777" w:rsidTr="003D6B0A">
        <w:trPr>
          <w:trHeight w:val="276"/>
          <w:jc w:val="center"/>
        </w:trPr>
        <w:tc>
          <w:tcPr>
            <w:tcW w:w="2970" w:type="dxa"/>
            <w:tcBorders>
              <w:top w:val="nil"/>
              <w:left w:val="single" w:sz="4" w:space="0" w:color="auto"/>
              <w:bottom w:val="single" w:sz="4" w:space="0" w:color="auto"/>
              <w:right w:val="single" w:sz="4" w:space="0" w:color="auto"/>
            </w:tcBorders>
            <w:shd w:val="clear" w:color="auto" w:fill="auto"/>
            <w:noWrap/>
            <w:vAlign w:val="bottom"/>
            <w:hideMark/>
          </w:tcPr>
          <w:p w14:paraId="752A1847" w14:textId="5E7B873F"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RDI&lt; 70% vs. RDI</w:t>
            </w:r>
            <w:r w:rsidR="002D06F1">
              <w:rPr>
                <w:rFonts w:ascii="Times New Roman" w:eastAsia="Times New Roman" w:hAnsi="Times New Roman" w:cs="Times New Roman"/>
                <w:color w:val="000000"/>
                <w:sz w:val="24"/>
                <w:szCs w:val="24"/>
              </w:rPr>
              <w:t>≥</w:t>
            </w:r>
            <w:r w:rsidRPr="00370B22">
              <w:rPr>
                <w:rFonts w:ascii="Times New Roman" w:eastAsia="Times New Roman" w:hAnsi="Times New Roman" w:cs="Times New Roman"/>
                <w:color w:val="000000"/>
                <w:sz w:val="24"/>
                <w:szCs w:val="24"/>
              </w:rPr>
              <w:t xml:space="preserve"> 70%</w:t>
            </w:r>
          </w:p>
        </w:tc>
        <w:tc>
          <w:tcPr>
            <w:tcW w:w="1440" w:type="dxa"/>
            <w:tcBorders>
              <w:top w:val="nil"/>
              <w:left w:val="single" w:sz="4" w:space="0" w:color="auto"/>
              <w:bottom w:val="single" w:sz="4" w:space="0" w:color="auto"/>
              <w:right w:val="single" w:sz="4" w:space="0" w:color="auto"/>
            </w:tcBorders>
            <w:shd w:val="clear" w:color="auto" w:fill="auto"/>
            <w:noWrap/>
            <w:vAlign w:val="bottom"/>
            <w:hideMark/>
          </w:tcPr>
          <w:p w14:paraId="6AF26343"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39.7</w:t>
            </w:r>
          </w:p>
        </w:tc>
        <w:tc>
          <w:tcPr>
            <w:tcW w:w="1900" w:type="dxa"/>
            <w:tcBorders>
              <w:top w:val="nil"/>
              <w:left w:val="single" w:sz="4" w:space="0" w:color="auto"/>
              <w:bottom w:val="single" w:sz="4" w:space="0" w:color="auto"/>
              <w:right w:val="single" w:sz="4" w:space="0" w:color="auto"/>
            </w:tcBorders>
            <w:shd w:val="clear" w:color="auto" w:fill="auto"/>
            <w:noWrap/>
            <w:vAlign w:val="center"/>
            <w:hideMark/>
          </w:tcPr>
          <w:p w14:paraId="6FD6EAC3"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1.08 (0.51, 2.31)</w:t>
            </w:r>
          </w:p>
        </w:tc>
        <w:tc>
          <w:tcPr>
            <w:tcW w:w="636" w:type="dxa"/>
            <w:tcBorders>
              <w:top w:val="nil"/>
              <w:left w:val="single" w:sz="4" w:space="0" w:color="auto"/>
              <w:bottom w:val="single" w:sz="4" w:space="0" w:color="auto"/>
              <w:right w:val="single" w:sz="4" w:space="0" w:color="auto"/>
            </w:tcBorders>
            <w:shd w:val="clear" w:color="auto" w:fill="auto"/>
            <w:noWrap/>
            <w:vAlign w:val="center"/>
            <w:hideMark/>
          </w:tcPr>
          <w:p w14:paraId="22F92A8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0.84</w:t>
            </w:r>
          </w:p>
        </w:tc>
        <w:tc>
          <w:tcPr>
            <w:tcW w:w="1996" w:type="dxa"/>
            <w:tcBorders>
              <w:top w:val="nil"/>
              <w:left w:val="single" w:sz="4" w:space="0" w:color="auto"/>
              <w:bottom w:val="single" w:sz="4" w:space="0" w:color="auto"/>
              <w:right w:val="single" w:sz="4" w:space="0" w:color="auto"/>
            </w:tcBorders>
            <w:shd w:val="clear" w:color="auto" w:fill="auto"/>
            <w:noWrap/>
            <w:vAlign w:val="center"/>
            <w:hideMark/>
          </w:tcPr>
          <w:p w14:paraId="4BE28332"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1.11 (0.40, 3.08)</w:t>
            </w:r>
          </w:p>
        </w:tc>
        <w:tc>
          <w:tcPr>
            <w:tcW w:w="636" w:type="dxa"/>
            <w:tcBorders>
              <w:top w:val="nil"/>
              <w:left w:val="single" w:sz="4" w:space="0" w:color="auto"/>
              <w:bottom w:val="single" w:sz="4" w:space="0" w:color="auto"/>
              <w:right w:val="single" w:sz="4" w:space="0" w:color="auto"/>
            </w:tcBorders>
            <w:shd w:val="clear" w:color="auto" w:fill="auto"/>
            <w:noWrap/>
            <w:vAlign w:val="center"/>
            <w:hideMark/>
          </w:tcPr>
          <w:p w14:paraId="4BCFE76F" w14:textId="77777777" w:rsidR="00370B22" w:rsidRPr="00370B22" w:rsidRDefault="00370B22" w:rsidP="00C8288A">
            <w:pPr>
              <w:spacing w:after="0" w:line="240" w:lineRule="auto"/>
              <w:jc w:val="center"/>
              <w:rPr>
                <w:rFonts w:ascii="Times New Roman" w:eastAsia="Times New Roman" w:hAnsi="Times New Roman" w:cs="Times New Roman"/>
                <w:color w:val="000000"/>
                <w:sz w:val="24"/>
                <w:szCs w:val="24"/>
              </w:rPr>
            </w:pPr>
            <w:r w:rsidRPr="00370B22">
              <w:rPr>
                <w:rFonts w:ascii="Times New Roman" w:eastAsia="Times New Roman" w:hAnsi="Times New Roman" w:cs="Times New Roman"/>
                <w:color w:val="000000"/>
                <w:sz w:val="24"/>
                <w:szCs w:val="24"/>
              </w:rPr>
              <w:t>0.85</w:t>
            </w:r>
          </w:p>
        </w:tc>
      </w:tr>
    </w:tbl>
    <w:p w14:paraId="34822AB4" w14:textId="77777777" w:rsidR="00370B22" w:rsidRPr="00370B22" w:rsidRDefault="00370B22">
      <w:pPr>
        <w:rPr>
          <w:rFonts w:ascii="Times New Roman" w:hAnsi="Times New Roman" w:cs="Times New Roman"/>
          <w:sz w:val="24"/>
          <w:szCs w:val="24"/>
        </w:rPr>
      </w:pPr>
    </w:p>
    <w:sectPr w:rsidR="00370B22" w:rsidRPr="00370B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336110" w14:textId="77777777" w:rsidR="00B06C30" w:rsidRDefault="00B06C30" w:rsidP="009F0E17">
      <w:pPr>
        <w:spacing w:after="0" w:line="240" w:lineRule="auto"/>
      </w:pPr>
      <w:r>
        <w:separator/>
      </w:r>
    </w:p>
  </w:endnote>
  <w:endnote w:type="continuationSeparator" w:id="0">
    <w:p w14:paraId="0A59323D" w14:textId="77777777" w:rsidR="00B06C30" w:rsidRDefault="00B06C30" w:rsidP="009F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B272A" w14:textId="77777777" w:rsidR="00B06C30" w:rsidRDefault="00B06C30" w:rsidP="009F0E17">
      <w:pPr>
        <w:spacing w:after="0" w:line="240" w:lineRule="auto"/>
      </w:pPr>
      <w:r>
        <w:separator/>
      </w:r>
    </w:p>
  </w:footnote>
  <w:footnote w:type="continuationSeparator" w:id="0">
    <w:p w14:paraId="5777987A" w14:textId="77777777" w:rsidR="00B06C30" w:rsidRDefault="00B06C30" w:rsidP="009F0E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623"/>
    <w:rsid w:val="00015284"/>
    <w:rsid w:val="00234369"/>
    <w:rsid w:val="002A4623"/>
    <w:rsid w:val="002D06F1"/>
    <w:rsid w:val="00355AB0"/>
    <w:rsid w:val="00370B22"/>
    <w:rsid w:val="003733B6"/>
    <w:rsid w:val="003D6B0A"/>
    <w:rsid w:val="004134AF"/>
    <w:rsid w:val="00532714"/>
    <w:rsid w:val="00555705"/>
    <w:rsid w:val="0057087B"/>
    <w:rsid w:val="006060CF"/>
    <w:rsid w:val="00667391"/>
    <w:rsid w:val="006726E8"/>
    <w:rsid w:val="007125FF"/>
    <w:rsid w:val="00765190"/>
    <w:rsid w:val="007C6222"/>
    <w:rsid w:val="00816B1D"/>
    <w:rsid w:val="008750D6"/>
    <w:rsid w:val="009F0E17"/>
    <w:rsid w:val="00A625FA"/>
    <w:rsid w:val="00AA79FC"/>
    <w:rsid w:val="00AD38BC"/>
    <w:rsid w:val="00B06C30"/>
    <w:rsid w:val="00BF496C"/>
    <w:rsid w:val="00C0370A"/>
    <w:rsid w:val="00D12E80"/>
    <w:rsid w:val="00E91C02"/>
    <w:rsid w:val="00F36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751DB"/>
  <w15:chartTrackingRefBased/>
  <w15:docId w15:val="{105EF122-9940-485F-8EE6-413295B88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70B22"/>
    <w:pPr>
      <w:spacing w:after="200" w:line="240" w:lineRule="auto"/>
    </w:pPr>
    <w:rPr>
      <w:rFonts w:ascii="Arial" w:hAnsi="Arial" w:cs="Arial"/>
      <w:iCs/>
      <w:sz w:val="20"/>
      <w:szCs w:val="20"/>
    </w:rPr>
  </w:style>
  <w:style w:type="character" w:styleId="Hyperlink">
    <w:name w:val="Hyperlink"/>
    <w:basedOn w:val="DefaultParagraphFont"/>
    <w:uiPriority w:val="99"/>
    <w:unhideWhenUsed/>
    <w:rsid w:val="00370B22"/>
    <w:rPr>
      <w:color w:val="0563C1" w:themeColor="hyperlink"/>
      <w:u w:val="single"/>
    </w:rPr>
  </w:style>
  <w:style w:type="table" w:styleId="TableGrid">
    <w:name w:val="Table Grid"/>
    <w:basedOn w:val="TableNormal"/>
    <w:uiPriority w:val="39"/>
    <w:rsid w:val="00370B2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32714"/>
    <w:rPr>
      <w:color w:val="954F72" w:themeColor="followedHyperlink"/>
      <w:u w:val="single"/>
    </w:rPr>
  </w:style>
  <w:style w:type="paragraph" w:styleId="Header">
    <w:name w:val="header"/>
    <w:basedOn w:val="Normal"/>
    <w:link w:val="HeaderChar"/>
    <w:uiPriority w:val="99"/>
    <w:unhideWhenUsed/>
    <w:rsid w:val="009F0E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E17"/>
  </w:style>
  <w:style w:type="paragraph" w:styleId="Footer">
    <w:name w:val="footer"/>
    <w:basedOn w:val="Normal"/>
    <w:link w:val="FooterChar"/>
    <w:uiPriority w:val="99"/>
    <w:unhideWhenUsed/>
    <w:rsid w:val="009F0E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E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dicine.medscape.com/article/2006674-overview" TargetMode="External"/><Relationship Id="rId3" Type="http://schemas.openxmlformats.org/officeDocument/2006/relationships/webSettings" Target="webSettings.xml"/><Relationship Id="rId7" Type="http://schemas.openxmlformats.org/officeDocument/2006/relationships/hyperlink" Target="https://cancerstaging.org/references-tools/quickreferences/Documents/ColonMedium.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wu@lsuhsc.edu"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1380</Words>
  <Characters>7871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LSUHSC - NO</Company>
  <LinksUpToDate>false</LinksUpToDate>
  <CharactersWithSpaces>9233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Meijiao</dc:creator>
  <cp:keywords/>
  <dc:description/>
  <cp:lastModifiedBy>Wang, Xinnan</cp:lastModifiedBy>
  <cp:revision>22</cp:revision>
  <dcterms:created xsi:type="dcterms:W3CDTF">2019-05-03T05:08:00Z</dcterms:created>
  <dcterms:modified xsi:type="dcterms:W3CDTF">2020-01-03T03:26:00Z</dcterms:modified>
</cp:coreProperties>
</file>